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3F" w:rsidRPr="008215F2" w:rsidRDefault="00A0524B" w:rsidP="00F7180B">
      <w:pPr>
        <w:jc w:val="center"/>
        <w:rPr>
          <w:rFonts w:ascii="標楷體" w:eastAsia="標楷體" w:hAnsi="標楷體"/>
          <w:b/>
          <w:sz w:val="32"/>
        </w:rPr>
      </w:pPr>
      <w:bookmarkStart w:id="0" w:name="_GoBack"/>
      <w:r w:rsidRPr="008215F2">
        <w:rPr>
          <w:rFonts w:ascii="標楷體" w:eastAsia="標楷體" w:hAnsi="標楷體" w:hint="eastAsia"/>
          <w:b/>
          <w:sz w:val="32"/>
        </w:rPr>
        <w:t>屏東縣</w:t>
      </w:r>
      <w:r w:rsidR="00F7180B" w:rsidRPr="008215F2">
        <w:rPr>
          <w:rFonts w:ascii="標楷體" w:eastAsia="標楷體" w:hAnsi="標楷體" w:hint="eastAsia"/>
          <w:b/>
          <w:sz w:val="32"/>
        </w:rPr>
        <w:t>106學年度國際教育初階課程規劃與認證</w:t>
      </w:r>
      <w:r w:rsidR="00516154" w:rsidRPr="008215F2">
        <w:rPr>
          <w:rFonts w:ascii="標楷體" w:eastAsia="標楷體" w:hAnsi="標楷體" w:hint="eastAsia"/>
          <w:b/>
          <w:sz w:val="32"/>
        </w:rPr>
        <w:t>實施計畫</w:t>
      </w:r>
    </w:p>
    <w:bookmarkEnd w:id="0"/>
    <w:p w:rsidR="00516154" w:rsidRDefault="00516154" w:rsidP="0067082C">
      <w:pPr>
        <w:pStyle w:val="a3"/>
        <w:numPr>
          <w:ilvl w:val="0"/>
          <w:numId w:val="2"/>
        </w:numPr>
        <w:ind w:leftChars="0"/>
        <w:rPr>
          <w:rFonts w:ascii="標楷體" w:eastAsia="標楷體" w:hAnsi="標楷體"/>
        </w:rPr>
      </w:pPr>
      <w:r w:rsidRPr="00516154">
        <w:rPr>
          <w:rFonts w:ascii="標楷體" w:eastAsia="標楷體" w:hAnsi="標楷體" w:hint="eastAsia"/>
        </w:rPr>
        <w:t>依據</w:t>
      </w:r>
      <w:r w:rsidR="005B3F28">
        <w:rPr>
          <w:rFonts w:ascii="標楷體" w:eastAsia="標楷體" w:hAnsi="標楷體" w:hint="eastAsia"/>
        </w:rPr>
        <w:t>：</w:t>
      </w:r>
      <w:r w:rsidR="0067082C" w:rsidRPr="0067082C">
        <w:rPr>
          <w:rFonts w:ascii="標楷體" w:eastAsia="標楷體" w:hAnsi="標楷體" w:hint="eastAsia"/>
        </w:rPr>
        <w:t>教育部國民及學前教育署委託國立中正大學辦理「105學年度中小學國際教育初階課程規劃與認證」計畫。</w:t>
      </w:r>
    </w:p>
    <w:p w:rsidR="00516154" w:rsidRDefault="0067082C" w:rsidP="00516154">
      <w:pPr>
        <w:pStyle w:val="a3"/>
        <w:numPr>
          <w:ilvl w:val="0"/>
          <w:numId w:val="2"/>
        </w:numPr>
        <w:ind w:leftChars="0"/>
        <w:rPr>
          <w:rFonts w:ascii="標楷體" w:eastAsia="標楷體" w:hAnsi="標楷體"/>
        </w:rPr>
      </w:pPr>
      <w:r>
        <w:rPr>
          <w:rFonts w:ascii="標楷體" w:eastAsia="標楷體" w:hAnsi="標楷體" w:hint="eastAsia"/>
        </w:rPr>
        <w:t>目的</w:t>
      </w:r>
      <w:r w:rsidR="005B3F28">
        <w:rPr>
          <w:rFonts w:ascii="標楷體" w:eastAsia="標楷體" w:hAnsi="標楷體" w:hint="eastAsia"/>
        </w:rPr>
        <w:t>：</w:t>
      </w:r>
    </w:p>
    <w:p w:rsidR="00516154"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藉由規劃中小學國際教育相關之系統性課程，協助中小學教師、行政人員提昇國際教育專業知能，深化推廣國際教育之動能。</w:t>
      </w:r>
    </w:p>
    <w:p w:rsid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透過瞭解中小學國際教育理念與政策之內涵，建構我國中小學國際教育專業知能之系統性架構、標準與核心內涵。</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藉由分享國際教育個案執行方式及經驗，培養學校發展國際教育人才。</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提升本縣申請教育部補助推動國際教育計畫(SIEP)參與率及計畫品質。</w:t>
      </w:r>
    </w:p>
    <w:p w:rsidR="0067082C"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提升計畫參與人員規劃校內發展國際教育課程圖像知能。</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辦理單位</w:t>
      </w:r>
      <w:r w:rsidR="005B3F28">
        <w:rPr>
          <w:rFonts w:ascii="標楷體" w:eastAsia="標楷體" w:hAnsi="標楷體" w:hint="eastAsia"/>
        </w:rPr>
        <w:t>：</w:t>
      </w:r>
    </w:p>
    <w:p w:rsidR="00516154" w:rsidRDefault="00516154" w:rsidP="00516154">
      <w:pPr>
        <w:pStyle w:val="a3"/>
        <w:numPr>
          <w:ilvl w:val="0"/>
          <w:numId w:val="6"/>
        </w:numPr>
        <w:ind w:leftChars="0"/>
        <w:rPr>
          <w:rFonts w:ascii="標楷體" w:eastAsia="標楷體" w:hAnsi="標楷體"/>
        </w:rPr>
      </w:pPr>
      <w:r>
        <w:rPr>
          <w:rFonts w:ascii="標楷體" w:eastAsia="標楷體" w:hAnsi="標楷體" w:hint="eastAsia"/>
        </w:rPr>
        <w:t>指導單位</w:t>
      </w:r>
      <w:r w:rsidR="00A47239">
        <w:rPr>
          <w:rFonts w:ascii="標楷體" w:eastAsia="標楷體" w:hAnsi="標楷體" w:hint="eastAsia"/>
        </w:rPr>
        <w:t>：教育部</w:t>
      </w:r>
      <w:r w:rsidR="00E23E75">
        <w:rPr>
          <w:rFonts w:ascii="標楷體" w:eastAsia="標楷體" w:hAnsi="標楷體" w:hint="eastAsia"/>
        </w:rPr>
        <w:t>國民及學前教育署</w:t>
      </w:r>
    </w:p>
    <w:p w:rsid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主辦單位：屏東縣政府教育處</w:t>
      </w:r>
    </w:p>
    <w:p w:rsidR="00A47239" w:rsidRDefault="003B6EA5" w:rsidP="00516154">
      <w:pPr>
        <w:pStyle w:val="a3"/>
        <w:numPr>
          <w:ilvl w:val="0"/>
          <w:numId w:val="6"/>
        </w:numPr>
        <w:ind w:leftChars="0"/>
        <w:rPr>
          <w:rFonts w:ascii="標楷體" w:eastAsia="標楷體" w:hAnsi="標楷體"/>
        </w:rPr>
      </w:pPr>
      <w:r>
        <w:rPr>
          <w:rFonts w:ascii="標楷體" w:eastAsia="標楷體" w:hAnsi="標楷體" w:hint="eastAsia"/>
        </w:rPr>
        <w:t>承辦單位：</w:t>
      </w:r>
      <w:r w:rsidR="00A47239">
        <w:rPr>
          <w:rFonts w:ascii="標楷體" w:eastAsia="標楷體" w:hAnsi="標楷體" w:hint="eastAsia"/>
        </w:rPr>
        <w:t>南榮國中</w:t>
      </w:r>
    </w:p>
    <w:p w:rsidR="00A47239" w:rsidRP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協辦單位：屏東縣國際教育暨英語</w:t>
      </w:r>
      <w:r w:rsidR="00A01341">
        <w:rPr>
          <w:rFonts w:ascii="標楷體" w:eastAsia="標楷體" w:hAnsi="標楷體" w:hint="eastAsia"/>
        </w:rPr>
        <w:t>教學</w:t>
      </w:r>
      <w:r>
        <w:rPr>
          <w:rFonts w:ascii="標楷體" w:eastAsia="標楷體" w:hAnsi="標楷體" w:hint="eastAsia"/>
        </w:rPr>
        <w:t>資源教學中心</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實施內容</w:t>
      </w:r>
      <w:r w:rsidR="005B3F28">
        <w:rPr>
          <w:rFonts w:ascii="標楷體" w:eastAsia="標楷體" w:hAnsi="標楷體" w:hint="eastAsia"/>
        </w:rPr>
        <w:t>：</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活動日期</w:t>
      </w:r>
      <w:r w:rsidR="00380F10">
        <w:rPr>
          <w:rFonts w:ascii="標楷體" w:eastAsia="標楷體" w:hAnsi="標楷體" w:hint="eastAsia"/>
        </w:rPr>
        <w:t>：</w:t>
      </w:r>
      <w:r w:rsidR="00380F10" w:rsidRPr="00E23E75">
        <w:rPr>
          <w:rFonts w:ascii="標楷體" w:eastAsia="標楷體" w:hAnsi="標楷體" w:hint="eastAsia"/>
          <w:b/>
          <w:color w:val="FF0000"/>
        </w:rPr>
        <w:t>10</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年</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月</w:t>
      </w:r>
      <w:r w:rsidR="003B6EA5" w:rsidRPr="00E23E75">
        <w:rPr>
          <w:rFonts w:ascii="標楷體" w:eastAsia="標楷體" w:hAnsi="標楷體"/>
          <w:b/>
          <w:color w:val="FF0000"/>
        </w:rPr>
        <w:t>5</w:t>
      </w:r>
      <w:r w:rsidR="00380F10" w:rsidRPr="00E23E75">
        <w:rPr>
          <w:rFonts w:ascii="標楷體" w:eastAsia="標楷體" w:hAnsi="標楷體" w:hint="eastAsia"/>
          <w:b/>
          <w:color w:val="FF0000"/>
        </w:rPr>
        <w:t>日</w:t>
      </w:r>
      <w:r w:rsidR="003B6EA5" w:rsidRPr="00E23E75">
        <w:rPr>
          <w:rFonts w:ascii="標楷體" w:eastAsia="標楷體" w:hAnsi="標楷體" w:hint="eastAsia"/>
          <w:b/>
          <w:color w:val="FF0000"/>
        </w:rPr>
        <w:t>、6日、12日、13日</w:t>
      </w:r>
      <w:r w:rsidR="00E23E75">
        <w:rPr>
          <w:rFonts w:ascii="標楷體" w:eastAsia="標楷體" w:hAnsi="標楷體" w:hint="eastAsia"/>
        </w:rPr>
        <w:t>，共4日</w:t>
      </w:r>
    </w:p>
    <w:p w:rsidR="00A47239" w:rsidRDefault="00A47239" w:rsidP="00E23E75">
      <w:pPr>
        <w:pStyle w:val="a3"/>
        <w:numPr>
          <w:ilvl w:val="0"/>
          <w:numId w:val="8"/>
        </w:numPr>
        <w:ind w:leftChars="0"/>
        <w:rPr>
          <w:rFonts w:ascii="標楷體" w:eastAsia="標楷體" w:hAnsi="標楷體"/>
        </w:rPr>
      </w:pPr>
      <w:r>
        <w:rPr>
          <w:rFonts w:ascii="標楷體" w:eastAsia="標楷體" w:hAnsi="標楷體" w:hint="eastAsia"/>
        </w:rPr>
        <w:t>活動地點</w:t>
      </w:r>
      <w:r w:rsidR="00380F10">
        <w:rPr>
          <w:rFonts w:ascii="標楷體" w:eastAsia="標楷體" w:hAnsi="標楷體" w:hint="eastAsia"/>
        </w:rPr>
        <w:t>：</w:t>
      </w:r>
      <w:r w:rsidR="00E23E75">
        <w:rPr>
          <w:rFonts w:ascii="標楷體" w:eastAsia="標楷體" w:hAnsi="標楷體" w:hint="eastAsia"/>
        </w:rPr>
        <w:t>屏東縣</w:t>
      </w:r>
      <w:r w:rsidR="00E23E75" w:rsidRPr="00E23E75">
        <w:rPr>
          <w:rFonts w:ascii="標楷體" w:eastAsia="標楷體" w:hAnsi="標楷體" w:hint="eastAsia"/>
        </w:rPr>
        <w:t>南榮國中英語村3樓(屏東縣崁頂鄉園</w:t>
      </w:r>
      <w:proofErr w:type="gramStart"/>
      <w:r w:rsidR="00E23E75" w:rsidRPr="00E23E75">
        <w:rPr>
          <w:rFonts w:ascii="標楷體" w:eastAsia="標楷體" w:hAnsi="標楷體" w:hint="eastAsia"/>
        </w:rPr>
        <w:t>寮</w:t>
      </w:r>
      <w:proofErr w:type="gramEnd"/>
      <w:r w:rsidR="00E23E75" w:rsidRPr="00E23E75">
        <w:rPr>
          <w:rFonts w:ascii="標楷體" w:eastAsia="標楷體" w:hAnsi="標楷體" w:hint="eastAsia"/>
        </w:rPr>
        <w:t>村田寮路1-15號)。開車者可停車於南榮國中校內籃球場。</w:t>
      </w:r>
    </w:p>
    <w:p w:rsidR="003B6EA5" w:rsidRDefault="00E23E75" w:rsidP="003B6EA5">
      <w:pPr>
        <w:pStyle w:val="a3"/>
        <w:numPr>
          <w:ilvl w:val="0"/>
          <w:numId w:val="8"/>
        </w:numPr>
        <w:ind w:leftChars="0"/>
        <w:rPr>
          <w:rFonts w:ascii="標楷體" w:eastAsia="標楷體" w:hAnsi="標楷體"/>
        </w:rPr>
      </w:pPr>
      <w:r>
        <w:rPr>
          <w:rFonts w:ascii="標楷體" w:eastAsia="標楷體" w:hAnsi="標楷體" w:hint="eastAsia"/>
        </w:rPr>
        <w:t>參加人員</w:t>
      </w:r>
      <w:r w:rsidR="0029147F">
        <w:rPr>
          <w:rFonts w:ascii="標楷體" w:eastAsia="標楷體" w:hAnsi="標楷體" w:hint="eastAsia"/>
        </w:rPr>
        <w:t>：</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屏東縣中小學校長、行政人員與教師</w:t>
      </w:r>
      <w:r>
        <w:rPr>
          <w:rFonts w:ascii="標楷體" w:eastAsia="標楷體" w:hAnsi="標楷體" w:hint="eastAsia"/>
        </w:rPr>
        <w:t>。</w:t>
      </w:r>
      <w:r w:rsidRPr="00E23E75">
        <w:rPr>
          <w:rFonts w:ascii="標楷體" w:eastAsia="標楷體" w:hAnsi="標楷體" w:hint="eastAsia"/>
          <w:b/>
          <w:color w:val="0070C0"/>
        </w:rPr>
        <w:t>為有利學校國際教育之推展，建議各校組隊參與，</w:t>
      </w:r>
      <w:proofErr w:type="gramStart"/>
      <w:r w:rsidRPr="00E23E75">
        <w:rPr>
          <w:rFonts w:ascii="標楷體" w:eastAsia="標楷體" w:hAnsi="標楷體" w:hint="eastAsia"/>
          <w:b/>
          <w:color w:val="0070C0"/>
        </w:rPr>
        <w:t>人員可含校長</w:t>
      </w:r>
      <w:proofErr w:type="gramEnd"/>
      <w:r w:rsidRPr="00E23E75">
        <w:rPr>
          <w:rFonts w:ascii="標楷體" w:eastAsia="標楷體" w:hAnsi="標楷體" w:hint="eastAsia"/>
          <w:b/>
          <w:color w:val="0070C0"/>
        </w:rPr>
        <w:t>、教務（導）主任或相關組長、推動國際教育相關課程教師。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外縣市教師。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參加人數共錄取</w:t>
      </w:r>
      <w:r>
        <w:rPr>
          <w:rFonts w:ascii="標楷體" w:eastAsia="標楷體" w:hAnsi="標楷體" w:hint="eastAsia"/>
        </w:rPr>
        <w:t>7</w:t>
      </w:r>
      <w:r w:rsidRPr="00E23E75">
        <w:rPr>
          <w:rFonts w:ascii="標楷體" w:eastAsia="標楷體" w:hAnsi="標楷體" w:hint="eastAsia"/>
        </w:rPr>
        <w:t>0人，以屏東縣學校為優先，依報名順序錄取，額滿為止。</w:t>
      </w:r>
    </w:p>
    <w:p w:rsidR="0029147F" w:rsidRDefault="0029147F" w:rsidP="003B6EA5">
      <w:pPr>
        <w:pStyle w:val="a3"/>
        <w:numPr>
          <w:ilvl w:val="0"/>
          <w:numId w:val="8"/>
        </w:numPr>
        <w:ind w:leftChars="0"/>
        <w:rPr>
          <w:rFonts w:ascii="標楷體" w:eastAsia="標楷體" w:hAnsi="標楷體"/>
        </w:rPr>
      </w:pPr>
      <w:r w:rsidRPr="00E23E75">
        <w:rPr>
          <w:rFonts w:ascii="標楷體" w:eastAsia="標楷體" w:hAnsi="標楷體" w:hint="eastAsia"/>
          <w:color w:val="FF0000"/>
        </w:rPr>
        <w:t>出席者准予公(差)</w:t>
      </w:r>
      <w:r w:rsidR="003B6EA5" w:rsidRPr="00E23E75">
        <w:rPr>
          <w:rFonts w:ascii="標楷體" w:eastAsia="標楷體" w:hAnsi="標楷體" w:hint="eastAsia"/>
          <w:color w:val="FF0000"/>
        </w:rPr>
        <w:t>假登記，</w:t>
      </w:r>
      <w:r w:rsidRPr="00E23E75">
        <w:rPr>
          <w:rFonts w:ascii="標楷體" w:eastAsia="標楷體" w:hAnsi="標楷體" w:hint="eastAsia"/>
          <w:color w:val="FF0000"/>
        </w:rPr>
        <w:t>課</w:t>
      </w:r>
      <w:proofErr w:type="gramStart"/>
      <w:r w:rsidRPr="00E23E75">
        <w:rPr>
          <w:rFonts w:ascii="標楷體" w:eastAsia="標楷體" w:hAnsi="標楷體" w:hint="eastAsia"/>
          <w:color w:val="FF0000"/>
        </w:rPr>
        <w:t>務</w:t>
      </w:r>
      <w:proofErr w:type="gramEnd"/>
      <w:r w:rsidRPr="00E23E75">
        <w:rPr>
          <w:rFonts w:ascii="標楷體" w:eastAsia="標楷體" w:hAnsi="標楷體" w:hint="eastAsia"/>
          <w:color w:val="FF0000"/>
        </w:rPr>
        <w:t>派代</w:t>
      </w:r>
      <w:r w:rsidRPr="000F10DB">
        <w:rPr>
          <w:rFonts w:ascii="標楷體" w:eastAsia="標楷體" w:hAnsi="標楷體" w:hint="eastAsia"/>
        </w:rPr>
        <w:t>。</w:t>
      </w:r>
    </w:p>
    <w:p w:rsidR="00E23E75" w:rsidRPr="000F10DB" w:rsidRDefault="00E23E75" w:rsidP="003B6EA5">
      <w:pPr>
        <w:pStyle w:val="a3"/>
        <w:numPr>
          <w:ilvl w:val="0"/>
          <w:numId w:val="8"/>
        </w:numPr>
        <w:ind w:leftChars="0"/>
        <w:rPr>
          <w:rFonts w:ascii="標楷體" w:eastAsia="標楷體" w:hAnsi="標楷體"/>
        </w:rPr>
      </w:pPr>
      <w:r>
        <w:rPr>
          <w:rFonts w:ascii="標楷體" w:eastAsia="標楷體" w:hAnsi="標楷體" w:hint="eastAsia"/>
        </w:rPr>
        <w:t>課程大綱請參閱附件。</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流程表</w:t>
      </w:r>
      <w:r w:rsidR="00BA52BA">
        <w:rPr>
          <w:rFonts w:ascii="標楷體" w:eastAsia="標楷體" w:hAnsi="標楷體" w:hint="eastAsia"/>
        </w:rPr>
        <w:t>：</w:t>
      </w:r>
    </w:p>
    <w:tbl>
      <w:tblPr>
        <w:tblStyle w:val="a4"/>
        <w:tblW w:w="10828" w:type="dxa"/>
        <w:jc w:val="center"/>
        <w:tblLayout w:type="fixed"/>
        <w:tblLook w:val="04A0" w:firstRow="1" w:lastRow="0" w:firstColumn="1" w:lastColumn="0" w:noHBand="0" w:noVBand="1"/>
      </w:tblPr>
      <w:tblGrid>
        <w:gridCol w:w="1809"/>
        <w:gridCol w:w="2218"/>
        <w:gridCol w:w="2291"/>
        <w:gridCol w:w="2255"/>
        <w:gridCol w:w="2255"/>
      </w:tblGrid>
      <w:tr w:rsidR="003B6EA5" w:rsidRPr="0051368E" w:rsidTr="003B6EA5">
        <w:trPr>
          <w:trHeight w:val="982"/>
          <w:jc w:val="center"/>
        </w:trPr>
        <w:tc>
          <w:tcPr>
            <w:tcW w:w="1809" w:type="dxa"/>
            <w:tcBorders>
              <w:bottom w:val="double" w:sz="4" w:space="0" w:color="auto"/>
              <w:tl2br w:val="single" w:sz="4" w:space="0" w:color="auto"/>
            </w:tcBorders>
            <w:vAlign w:val="center"/>
          </w:tcPr>
          <w:p w:rsidR="003B6EA5" w:rsidRPr="0051368E" w:rsidRDefault="003B6EA5" w:rsidP="00913AAB">
            <w:pPr>
              <w:pStyle w:val="a5"/>
              <w:snapToGrid/>
              <w:contextualSpacing/>
              <w:jc w:val="right"/>
              <w:rPr>
                <w:rFonts w:ascii="標楷體" w:eastAsia="標楷體" w:hAnsi="標楷體"/>
                <w:sz w:val="24"/>
                <w:szCs w:val="24"/>
              </w:rPr>
            </w:pPr>
            <w:r w:rsidRPr="0051368E">
              <w:rPr>
                <w:rFonts w:ascii="標楷體" w:eastAsia="標楷體" w:hAnsi="標楷體" w:hint="eastAsia"/>
                <w:sz w:val="24"/>
                <w:szCs w:val="24"/>
              </w:rPr>
              <w:t>日期</w:t>
            </w:r>
          </w:p>
          <w:p w:rsidR="003B6EA5" w:rsidRDefault="003B6EA5" w:rsidP="00913AAB">
            <w:pPr>
              <w:pStyle w:val="a5"/>
              <w:snapToGrid/>
              <w:contextualSpacing/>
              <w:jc w:val="center"/>
              <w:rPr>
                <w:rFonts w:ascii="標楷體" w:eastAsia="標楷體" w:hAnsi="標楷體"/>
                <w:sz w:val="24"/>
                <w:szCs w:val="24"/>
              </w:rPr>
            </w:pPr>
          </w:p>
          <w:p w:rsidR="003B6EA5" w:rsidRPr="0051368E" w:rsidRDefault="003B6EA5" w:rsidP="00913AAB">
            <w:pPr>
              <w:pStyle w:val="a5"/>
              <w:snapToGrid/>
              <w:contextualSpacing/>
              <w:rPr>
                <w:rFonts w:ascii="標楷體" w:eastAsia="標楷體" w:hAnsi="標楷體"/>
                <w:sz w:val="24"/>
                <w:szCs w:val="24"/>
              </w:rPr>
            </w:pPr>
            <w:r w:rsidRPr="0051368E">
              <w:rPr>
                <w:rFonts w:ascii="標楷體" w:eastAsia="標楷體" w:hAnsi="標楷體" w:hint="eastAsia"/>
                <w:sz w:val="24"/>
                <w:szCs w:val="24"/>
              </w:rPr>
              <w:t>時間</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w:t>
            </w:r>
            <w:r w:rsidRPr="0051368E">
              <w:rPr>
                <w:rFonts w:ascii="標楷體" w:eastAsia="標楷體" w:hAnsi="標楷體"/>
                <w:sz w:val="24"/>
                <w:szCs w:val="24"/>
              </w:rPr>
              <w:t>5</w:t>
            </w:r>
            <w:r w:rsidRPr="0051368E">
              <w:rPr>
                <w:rFonts w:ascii="標楷體" w:eastAsia="標楷體" w:hAnsi="標楷體" w:hint="eastAsia"/>
                <w:sz w:val="24"/>
                <w:szCs w:val="24"/>
              </w:rPr>
              <w:t>(四)</w:t>
            </w:r>
          </w:p>
        </w:tc>
        <w:tc>
          <w:tcPr>
            <w:tcW w:w="2291"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7/6(五)</w:t>
            </w:r>
          </w:p>
        </w:tc>
        <w:tc>
          <w:tcPr>
            <w:tcW w:w="2255"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7/12（四）</w:t>
            </w:r>
          </w:p>
        </w:tc>
        <w:tc>
          <w:tcPr>
            <w:tcW w:w="2255" w:type="dxa"/>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7/13(五)</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8:30~8:40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報到</w:t>
            </w:r>
          </w:p>
        </w:tc>
        <w:tc>
          <w:tcPr>
            <w:tcW w:w="6801" w:type="dxa"/>
            <w:gridSpan w:val="3"/>
            <w:vMerge w:val="restart"/>
            <w:tcBorders>
              <w:top w:val="double" w:sz="4" w:space="0" w:color="auto"/>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trHeight w:val="60"/>
          <w:jc w:val="center"/>
        </w:trPr>
        <w:tc>
          <w:tcPr>
            <w:tcW w:w="1809"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8:40~9:00</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開幕式</w:t>
            </w:r>
          </w:p>
        </w:tc>
        <w:tc>
          <w:tcPr>
            <w:tcW w:w="6801" w:type="dxa"/>
            <w:gridSpan w:val="3"/>
            <w:vMerge/>
            <w:tcBorders>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9:00~11:00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跨文化溝通的理論與實際：國際教育的文化視角</w:t>
            </w:r>
          </w:p>
        </w:tc>
        <w:tc>
          <w:tcPr>
            <w:tcW w:w="2291"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國際教育理念分析</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課程發展與教學</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國際交流</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11:00~12:00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sz w:val="24"/>
              </w:rPr>
              <w:t>學校本位國際教育說明</w:t>
            </w:r>
            <w:r w:rsidRPr="00FF61F0">
              <w:rPr>
                <w:rFonts w:eastAsia="標楷體" w:hint="eastAsia"/>
                <w:sz w:val="24"/>
              </w:rPr>
              <w:t>(</w:t>
            </w:r>
            <w:r w:rsidRPr="00FF61F0">
              <w:rPr>
                <w:rFonts w:eastAsia="標楷體" w:hint="eastAsia"/>
                <w:sz w:val="24"/>
              </w:rPr>
              <w:t>含</w:t>
            </w:r>
            <w:r w:rsidRPr="00FF61F0">
              <w:rPr>
                <w:rFonts w:eastAsia="標楷體"/>
                <w:sz w:val="24"/>
              </w:rPr>
              <w:t>SIEP</w:t>
            </w:r>
            <w:r w:rsidRPr="00FF61F0">
              <w:rPr>
                <w:rFonts w:eastAsia="標楷體"/>
                <w:sz w:val="24"/>
              </w:rPr>
              <w:t>計畫書</w:t>
            </w:r>
            <w:r w:rsidRPr="00FF61F0">
              <w:rPr>
                <w:rFonts w:eastAsia="標楷體" w:hint="eastAsia"/>
                <w:sz w:val="24"/>
              </w:rPr>
              <w:t>之</w:t>
            </w:r>
            <w:r w:rsidRPr="00FF61F0">
              <w:rPr>
                <w:rFonts w:eastAsia="標楷體"/>
                <w:sz w:val="24"/>
              </w:rPr>
              <w:t>推廣</w:t>
            </w:r>
            <w:r w:rsidRPr="00FF61F0">
              <w:rPr>
                <w:rFonts w:eastAsia="標楷體" w:hint="eastAsia"/>
                <w:sz w:val="24"/>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lastRenderedPageBreak/>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12:30~13:00</w:t>
            </w:r>
          </w:p>
        </w:tc>
        <w:tc>
          <w:tcPr>
            <w:tcW w:w="9019" w:type="dxa"/>
            <w:gridSpan w:val="4"/>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休息</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13:00~14:00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bCs/>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14:00~16:00</w:t>
            </w:r>
          </w:p>
        </w:tc>
        <w:tc>
          <w:tcPr>
            <w:tcW w:w="2218" w:type="dxa"/>
            <w:tcBorders>
              <w:top w:val="double" w:sz="4" w:space="0" w:color="auto"/>
            </w:tcBorders>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全球化下的國際關係：國際教育的場域視角</w:t>
            </w:r>
          </w:p>
        </w:tc>
        <w:tc>
          <w:tcPr>
            <w:tcW w:w="2291" w:type="dxa"/>
            <w:tcBorders>
              <w:top w:val="double" w:sz="4" w:space="0" w:color="auto"/>
            </w:tcBorders>
            <w:vAlign w:val="center"/>
          </w:tcPr>
          <w:p w:rsidR="003B6EA5" w:rsidRPr="00FF61F0" w:rsidRDefault="003B6EA5" w:rsidP="00913AAB">
            <w:pPr>
              <w:contextualSpacing/>
              <w:jc w:val="center"/>
              <w:rPr>
                <w:rFonts w:ascii="標楷體" w:eastAsia="標楷體" w:hAnsi="標楷體"/>
              </w:rPr>
            </w:pPr>
            <w:r w:rsidRPr="0051368E">
              <w:rPr>
                <w:rFonts w:ascii="標楷體" w:eastAsia="標楷體" w:hAnsi="標楷體" w:hint="eastAsia"/>
              </w:rPr>
              <w:t>學校國際化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bCs/>
              </w:rPr>
              <w:t>國際教育課程融入實例與經驗分享</w:t>
            </w:r>
            <w:r>
              <w:rPr>
                <w:rFonts w:ascii="標楷體" w:eastAsia="標楷體" w:hAnsi="標楷體" w:hint="eastAsia"/>
                <w:bCs/>
              </w:rPr>
              <w:t>(</w:t>
            </w:r>
            <w:proofErr w:type="gramStart"/>
            <w:r>
              <w:rPr>
                <w:rFonts w:ascii="標楷體" w:eastAsia="標楷體" w:hAnsi="標楷體" w:hint="eastAsia"/>
                <w:bCs/>
              </w:rPr>
              <w:t>一</w:t>
            </w:r>
            <w:proofErr w:type="gramEnd"/>
            <w:r>
              <w:rPr>
                <w:rFonts w:ascii="標楷體" w:eastAsia="標楷體" w:hAnsi="標楷體" w:hint="eastAsia"/>
                <w:bCs/>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bCs/>
                <w:sz w:val="24"/>
                <w:szCs w:val="24"/>
              </w:rPr>
              <w:t>國際教育課程融入實例與經驗分享</w:t>
            </w:r>
            <w:r>
              <w:rPr>
                <w:rFonts w:ascii="標楷體" w:eastAsia="標楷體" w:hAnsi="標楷體" w:hint="eastAsia"/>
                <w:bCs/>
                <w:sz w:val="24"/>
                <w:szCs w:val="24"/>
              </w:rPr>
              <w:t>(二)</w:t>
            </w:r>
          </w:p>
        </w:tc>
      </w:tr>
      <w:tr w:rsidR="003B6EA5" w:rsidRPr="0051368E" w:rsidTr="003B6EA5">
        <w:trPr>
          <w:jc w:val="center"/>
        </w:trPr>
        <w:tc>
          <w:tcPr>
            <w:tcW w:w="1809"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丘麗英老師</w:t>
            </w:r>
          </w:p>
        </w:tc>
      </w:tr>
    </w:tbl>
    <w:p w:rsidR="00BA52BA" w:rsidRPr="00F2219C" w:rsidRDefault="00BA52BA" w:rsidP="00F2219C">
      <w:pPr>
        <w:rPr>
          <w:rFonts w:ascii="標楷體" w:eastAsia="標楷體" w:hAnsi="標楷體"/>
        </w:rPr>
      </w:pPr>
    </w:p>
    <w:p w:rsidR="00E36DE5" w:rsidRPr="003B6EA5" w:rsidRDefault="00A47239" w:rsidP="003B6EA5">
      <w:pPr>
        <w:pStyle w:val="a3"/>
        <w:numPr>
          <w:ilvl w:val="0"/>
          <w:numId w:val="2"/>
        </w:numPr>
        <w:ind w:leftChars="0"/>
        <w:rPr>
          <w:rFonts w:ascii="標楷體" w:eastAsia="標楷體" w:hAnsi="標楷體"/>
        </w:rPr>
      </w:pPr>
      <w:r>
        <w:rPr>
          <w:rFonts w:ascii="標楷體" w:eastAsia="標楷體" w:hAnsi="標楷體" w:hint="eastAsia"/>
        </w:rPr>
        <w:t>報名方式：</w:t>
      </w:r>
      <w:r w:rsidR="005A0CDB" w:rsidRPr="003B6EA5">
        <w:rPr>
          <w:rFonts w:ascii="標楷體" w:eastAsia="標楷體" w:hAnsi="標楷體" w:hint="eastAsia"/>
        </w:rPr>
        <w:t>請</w:t>
      </w:r>
      <w:r w:rsidR="009B35C1" w:rsidRPr="003B6EA5">
        <w:rPr>
          <w:rFonts w:ascii="標楷體" w:eastAsia="標楷體" w:hAnsi="標楷體" w:hint="eastAsia"/>
        </w:rPr>
        <w:t>參與者</w:t>
      </w:r>
      <w:r w:rsidR="00E36DE5" w:rsidRPr="003B6EA5">
        <w:rPr>
          <w:rFonts w:ascii="標楷體" w:eastAsia="標楷體" w:hAnsi="標楷體" w:hint="eastAsia"/>
        </w:rPr>
        <w:t>於</w:t>
      </w:r>
      <w:r w:rsidR="00E36DE5" w:rsidRPr="00E23E75">
        <w:rPr>
          <w:rFonts w:ascii="標楷體" w:eastAsia="標楷體" w:hAnsi="標楷體" w:hint="eastAsia"/>
          <w:color w:val="FF0000"/>
        </w:rPr>
        <w:t>10</w:t>
      </w:r>
      <w:r w:rsidR="003B6EA5" w:rsidRPr="00E23E75">
        <w:rPr>
          <w:rFonts w:ascii="標楷體" w:eastAsia="標楷體" w:hAnsi="標楷體"/>
          <w:color w:val="FF0000"/>
        </w:rPr>
        <w:t>7</w:t>
      </w:r>
      <w:r w:rsidR="00E36DE5" w:rsidRPr="00E23E75">
        <w:rPr>
          <w:rFonts w:ascii="標楷體" w:eastAsia="標楷體" w:hAnsi="標楷體" w:hint="eastAsia"/>
          <w:color w:val="FF0000"/>
        </w:rPr>
        <w:t>年</w:t>
      </w:r>
      <w:r w:rsidR="00E23E75" w:rsidRPr="00E23E75">
        <w:rPr>
          <w:rFonts w:ascii="標楷體" w:eastAsia="標楷體" w:hAnsi="標楷體"/>
          <w:color w:val="FF0000"/>
        </w:rPr>
        <w:t>6</w:t>
      </w:r>
      <w:r w:rsidR="00E36DE5" w:rsidRPr="00E23E75">
        <w:rPr>
          <w:rFonts w:ascii="標楷體" w:eastAsia="標楷體" w:hAnsi="標楷體" w:hint="eastAsia"/>
          <w:color w:val="FF0000"/>
        </w:rPr>
        <w:t>月</w:t>
      </w:r>
      <w:r w:rsidR="00E23E75" w:rsidRPr="00E23E75">
        <w:rPr>
          <w:rFonts w:ascii="標楷體" w:eastAsia="標楷體" w:hAnsi="標楷體" w:hint="eastAsia"/>
          <w:color w:val="FF0000"/>
        </w:rPr>
        <w:t>29</w:t>
      </w:r>
      <w:r w:rsidR="00E36DE5" w:rsidRPr="00E23E75">
        <w:rPr>
          <w:rFonts w:ascii="標楷體" w:eastAsia="標楷體" w:hAnsi="標楷體" w:hint="eastAsia"/>
          <w:color w:val="FF0000"/>
        </w:rPr>
        <w:t>日(</w:t>
      </w:r>
      <w:r w:rsidR="00E23E75" w:rsidRPr="00E23E75">
        <w:rPr>
          <w:rFonts w:ascii="標楷體" w:eastAsia="標楷體" w:hAnsi="標楷體" w:hint="eastAsia"/>
          <w:color w:val="FF0000"/>
        </w:rPr>
        <w:t>五</w:t>
      </w:r>
      <w:r w:rsidR="00E36DE5" w:rsidRPr="00E23E75">
        <w:rPr>
          <w:rFonts w:ascii="標楷體" w:eastAsia="標楷體" w:hAnsi="標楷體" w:hint="eastAsia"/>
          <w:color w:val="FF0000"/>
        </w:rPr>
        <w:t>)</w:t>
      </w:r>
      <w:r w:rsidR="00134155" w:rsidRPr="00E23E75">
        <w:rPr>
          <w:rFonts w:ascii="標楷體" w:eastAsia="標楷體" w:hAnsi="標楷體" w:hint="eastAsia"/>
          <w:color w:val="FF0000"/>
        </w:rPr>
        <w:t>前</w:t>
      </w:r>
      <w:r w:rsidR="009B35C1" w:rsidRPr="003B6EA5">
        <w:rPr>
          <w:rFonts w:ascii="標楷體" w:eastAsia="標楷體" w:hAnsi="標楷體" w:hint="eastAsia"/>
        </w:rPr>
        <w:t>，</w:t>
      </w:r>
      <w:proofErr w:type="gramStart"/>
      <w:r w:rsidR="009B35C1" w:rsidRPr="003B6EA5">
        <w:rPr>
          <w:rFonts w:ascii="標楷體" w:eastAsia="標楷體" w:hAnsi="標楷體" w:hint="eastAsia"/>
        </w:rPr>
        <w:t>逕</w:t>
      </w:r>
      <w:proofErr w:type="gramEnd"/>
      <w:r w:rsidR="009B35C1" w:rsidRPr="003B6EA5">
        <w:rPr>
          <w:rFonts w:ascii="標楷體" w:eastAsia="標楷體" w:hAnsi="標楷體" w:hint="eastAsia"/>
        </w:rPr>
        <w:t>上</w:t>
      </w:r>
      <w:r w:rsidR="00E36DE5" w:rsidRPr="003B6EA5">
        <w:rPr>
          <w:rFonts w:ascii="標楷體" w:eastAsia="標楷體" w:hAnsi="標楷體" w:hint="eastAsia"/>
        </w:rPr>
        <w:t>教育部全國教師在職進修資訊網(http://www.inservice.edu.tw/)</w:t>
      </w:r>
      <w:r w:rsidR="009B35C1" w:rsidRPr="003B6EA5">
        <w:rPr>
          <w:rFonts w:ascii="標楷體" w:eastAsia="標楷體" w:hAnsi="標楷體" w:hint="eastAsia"/>
        </w:rPr>
        <w:t>報名。</w:t>
      </w:r>
      <w:r w:rsidR="0072576C" w:rsidRPr="003B6EA5">
        <w:rPr>
          <w:rFonts w:ascii="標楷體" w:eastAsia="標楷體" w:hAnsi="標楷體" w:hint="eastAsia"/>
        </w:rPr>
        <w:t>若有報名相關疑義，請</w:t>
      </w:r>
      <w:proofErr w:type="gramStart"/>
      <w:r w:rsidR="0072576C" w:rsidRPr="003B6EA5">
        <w:rPr>
          <w:rFonts w:ascii="標楷體" w:eastAsia="標楷體" w:hAnsi="標楷體" w:hint="eastAsia"/>
        </w:rPr>
        <w:t>電洽</w:t>
      </w:r>
      <w:r w:rsidR="003B6EA5">
        <w:rPr>
          <w:rFonts w:ascii="標楷體" w:eastAsia="標楷體" w:hAnsi="標楷體" w:hint="eastAsia"/>
        </w:rPr>
        <w:t>南榮</w:t>
      </w:r>
      <w:proofErr w:type="gramEnd"/>
      <w:r w:rsidR="003B6EA5">
        <w:rPr>
          <w:rFonts w:ascii="標楷體" w:eastAsia="標楷體" w:hAnsi="標楷體" w:hint="eastAsia"/>
        </w:rPr>
        <w:t>國中吳淑惠</w:t>
      </w:r>
      <w:r w:rsidR="0072576C" w:rsidRPr="003B6EA5">
        <w:rPr>
          <w:rFonts w:ascii="標楷體" w:eastAsia="標楷體" w:hAnsi="標楷體" w:hint="eastAsia"/>
        </w:rPr>
        <w:t>主任，電話：08-</w:t>
      </w:r>
      <w:r w:rsidR="003B6EA5">
        <w:rPr>
          <w:rFonts w:ascii="標楷體" w:eastAsia="標楷體" w:hAnsi="標楷體"/>
        </w:rPr>
        <w:t>8631112</w:t>
      </w:r>
      <w:r w:rsidR="0072576C" w:rsidRPr="003B6EA5">
        <w:rPr>
          <w:rFonts w:ascii="標楷體" w:eastAsia="標楷體" w:hAnsi="標楷體" w:hint="eastAsia"/>
        </w:rPr>
        <w:t>轉1</w:t>
      </w:r>
      <w:r w:rsidR="003B6EA5">
        <w:rPr>
          <w:rFonts w:ascii="標楷體" w:eastAsia="標楷體" w:hAnsi="標楷體"/>
        </w:rPr>
        <w:t>8</w:t>
      </w:r>
      <w:r w:rsidR="0072576C" w:rsidRPr="003B6EA5">
        <w:rPr>
          <w:rFonts w:ascii="標楷體" w:eastAsia="標楷體" w:hAnsi="標楷體" w:hint="eastAsia"/>
        </w:rPr>
        <w:t>。</w:t>
      </w:r>
    </w:p>
    <w:p w:rsidR="00E23E75" w:rsidRDefault="00E23E75" w:rsidP="00D31BD8">
      <w:pPr>
        <w:pStyle w:val="a3"/>
        <w:numPr>
          <w:ilvl w:val="0"/>
          <w:numId w:val="2"/>
        </w:numPr>
        <w:ind w:leftChars="0"/>
        <w:rPr>
          <w:rFonts w:ascii="標楷體" w:eastAsia="標楷體" w:hAnsi="標楷體"/>
        </w:rPr>
      </w:pPr>
      <w:r>
        <w:rPr>
          <w:rFonts w:ascii="標楷體" w:eastAsia="標楷體" w:hAnsi="標楷體" w:hint="eastAsia"/>
        </w:rPr>
        <w:t>認證：</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本研習統一由承辦單位學校檢附相關資料依本計畫規定向國立中正大學申請初階課程認證，再由教育部國民及學前教育署核發「初階課程證書」。個人全程參與本研習達24小時者，發予個人證書一張。</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曾參加國立中正大學或已由中正大學所認證過之初階研習課程，卻因故未完成24小時課程者，得可向承辦單位學校申請「跨單位參與中小學國際教育初階研習課程時數審核表」及簽到表為證明，並參加其它已獲中正大學核備之初階研習課程，完成尚缺之課程及時數，並由最終研習單位統一送件申請初階認證。</w:t>
      </w:r>
    </w:p>
    <w:p w:rsidR="00A47239" w:rsidRPr="00D31BD8" w:rsidRDefault="00516154" w:rsidP="00D31BD8">
      <w:pPr>
        <w:pStyle w:val="a3"/>
        <w:numPr>
          <w:ilvl w:val="0"/>
          <w:numId w:val="2"/>
        </w:numPr>
        <w:ind w:leftChars="0"/>
        <w:rPr>
          <w:rFonts w:ascii="標楷體" w:eastAsia="標楷體" w:hAnsi="標楷體"/>
        </w:rPr>
      </w:pPr>
      <w:r w:rsidRPr="00516154">
        <w:rPr>
          <w:rFonts w:ascii="標楷體" w:eastAsia="標楷體" w:hAnsi="標楷體" w:hint="eastAsia"/>
        </w:rPr>
        <w:t>經費來源</w:t>
      </w:r>
      <w:r w:rsidR="00A47239">
        <w:rPr>
          <w:rFonts w:ascii="標楷體" w:eastAsia="標楷體" w:hAnsi="標楷體" w:hint="eastAsia"/>
        </w:rPr>
        <w:t>：屏東縣</w:t>
      </w:r>
      <w:proofErr w:type="gramStart"/>
      <w:r w:rsidR="00A47239">
        <w:rPr>
          <w:rFonts w:ascii="標楷體" w:eastAsia="標楷體" w:hAnsi="標楷體" w:hint="eastAsia"/>
        </w:rPr>
        <w:t>10</w:t>
      </w:r>
      <w:r w:rsidR="003B6EA5">
        <w:rPr>
          <w:rFonts w:ascii="標楷體" w:eastAsia="標楷體" w:hAnsi="標楷體"/>
        </w:rPr>
        <w:t>7</w:t>
      </w:r>
      <w:proofErr w:type="gramEnd"/>
      <w:r w:rsidR="00A47239">
        <w:rPr>
          <w:rFonts w:ascii="標楷體" w:eastAsia="標楷體" w:hAnsi="標楷體" w:hint="eastAsia"/>
        </w:rPr>
        <w:t>年度國際教育任務學校計畫項下支應。</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其他</w:t>
      </w:r>
      <w:r w:rsidR="00A47239">
        <w:rPr>
          <w:rFonts w:ascii="標楷體" w:eastAsia="標楷體" w:hAnsi="標楷體" w:hint="eastAsia"/>
        </w:rPr>
        <w:t>：</w:t>
      </w:r>
    </w:p>
    <w:p w:rsidR="00A47239" w:rsidRDefault="0072576C" w:rsidP="00FF3CDA">
      <w:pPr>
        <w:pStyle w:val="a3"/>
        <w:numPr>
          <w:ilvl w:val="0"/>
          <w:numId w:val="12"/>
        </w:numPr>
        <w:ind w:leftChars="0"/>
        <w:rPr>
          <w:rFonts w:ascii="標楷體" w:eastAsia="標楷體" w:hAnsi="標楷體"/>
        </w:rPr>
      </w:pPr>
      <w:r>
        <w:rPr>
          <w:rFonts w:ascii="標楷體" w:eastAsia="標楷體" w:hAnsi="標楷體" w:hint="eastAsia"/>
        </w:rPr>
        <w:t>承辦及協辦單位</w:t>
      </w:r>
      <w:r w:rsidRPr="00A47239">
        <w:rPr>
          <w:rFonts w:ascii="標楷體" w:eastAsia="標楷體" w:hAnsi="標楷體" w:hint="eastAsia"/>
        </w:rPr>
        <w:t>工作人員於活動當日</w:t>
      </w:r>
      <w:r>
        <w:rPr>
          <w:rFonts w:ascii="標楷體" w:eastAsia="標楷體" w:hAnsi="標楷體" w:hint="eastAsia"/>
        </w:rPr>
        <w:t>准予公(差)假，並</w:t>
      </w:r>
      <w:r w:rsidRPr="00A47239">
        <w:rPr>
          <w:rFonts w:ascii="標楷體" w:eastAsia="標楷體" w:hAnsi="標楷體" w:hint="eastAsia"/>
        </w:rPr>
        <w:t>課</w:t>
      </w:r>
      <w:proofErr w:type="gramStart"/>
      <w:r w:rsidRPr="00A47239">
        <w:rPr>
          <w:rFonts w:ascii="標楷體" w:eastAsia="標楷體" w:hAnsi="標楷體" w:hint="eastAsia"/>
        </w:rPr>
        <w:t>務</w:t>
      </w:r>
      <w:proofErr w:type="gramEnd"/>
      <w:r w:rsidRPr="00A47239">
        <w:rPr>
          <w:rFonts w:ascii="標楷體" w:eastAsia="標楷體" w:hAnsi="標楷體" w:hint="eastAsia"/>
        </w:rPr>
        <w:t>派代。</w:t>
      </w:r>
    </w:p>
    <w:p w:rsidR="00A47239" w:rsidRPr="00516154" w:rsidRDefault="0072576C" w:rsidP="00FF3CDA">
      <w:pPr>
        <w:pStyle w:val="a3"/>
        <w:numPr>
          <w:ilvl w:val="0"/>
          <w:numId w:val="12"/>
        </w:numPr>
        <w:ind w:leftChars="0"/>
        <w:rPr>
          <w:rFonts w:ascii="標楷體" w:eastAsia="標楷體" w:hAnsi="標楷體"/>
        </w:rPr>
      </w:pPr>
      <w:r>
        <w:rPr>
          <w:rFonts w:ascii="標楷體" w:eastAsia="標楷體" w:hAnsi="標楷體" w:hint="eastAsia"/>
        </w:rPr>
        <w:t>辦理本活動之績優人員，於活動結束後二</w:t>
      </w:r>
      <w:proofErr w:type="gramStart"/>
      <w:r>
        <w:rPr>
          <w:rFonts w:ascii="標楷體" w:eastAsia="標楷體" w:hAnsi="標楷體" w:hint="eastAsia"/>
        </w:rPr>
        <w:t>週</w:t>
      </w:r>
      <w:proofErr w:type="gramEnd"/>
      <w:r>
        <w:rPr>
          <w:rFonts w:ascii="標楷體" w:eastAsia="標楷體" w:hAnsi="標楷體" w:hint="eastAsia"/>
        </w:rPr>
        <w:t>內檢送活動成果</w:t>
      </w:r>
      <w:proofErr w:type="gramStart"/>
      <w:r>
        <w:rPr>
          <w:rFonts w:ascii="標楷體" w:eastAsia="標楷體" w:hAnsi="標楷體" w:hint="eastAsia"/>
        </w:rPr>
        <w:t>報府敘獎</w:t>
      </w:r>
      <w:proofErr w:type="gramEnd"/>
      <w:r>
        <w:rPr>
          <w:rFonts w:ascii="標楷體" w:eastAsia="標楷體" w:hAnsi="標楷體" w:hint="eastAsia"/>
        </w:rPr>
        <w:t>。</w:t>
      </w:r>
    </w:p>
    <w:p w:rsidR="00AB6D2F" w:rsidRDefault="00516154" w:rsidP="00134155">
      <w:pPr>
        <w:pStyle w:val="a3"/>
        <w:numPr>
          <w:ilvl w:val="0"/>
          <w:numId w:val="2"/>
        </w:numPr>
        <w:ind w:leftChars="0"/>
        <w:rPr>
          <w:rFonts w:ascii="標楷體" w:eastAsia="標楷體" w:hAnsi="標楷體"/>
        </w:rPr>
      </w:pPr>
      <w:r w:rsidRPr="00516154">
        <w:rPr>
          <w:rFonts w:ascii="標楷體" w:eastAsia="標楷體" w:hAnsi="標楷體" w:hint="eastAsia"/>
        </w:rPr>
        <w:t>本計畫經陳報縣府核准後實施，修正時亦同。</w:t>
      </w:r>
    </w:p>
    <w:p w:rsidR="00E23E75" w:rsidRDefault="00E23E75">
      <w:pPr>
        <w:widowControl/>
        <w:rPr>
          <w:rFonts w:ascii="標楷體" w:eastAsia="標楷體" w:hAnsi="標楷體"/>
        </w:rPr>
      </w:pPr>
      <w:r>
        <w:rPr>
          <w:rFonts w:ascii="標楷體" w:eastAsia="標楷體" w:hAnsi="標楷體"/>
        </w:rPr>
        <w:br w:type="page"/>
      </w:r>
    </w:p>
    <w:p w:rsidR="00134155" w:rsidRPr="008215F2" w:rsidRDefault="008215F2" w:rsidP="008215F2">
      <w:pPr>
        <w:widowControl/>
        <w:jc w:val="center"/>
        <w:rPr>
          <w:rFonts w:ascii="標楷體" w:eastAsia="標楷體" w:hAnsi="標楷體"/>
          <w:sz w:val="36"/>
        </w:rPr>
      </w:pPr>
      <w:r w:rsidRPr="008215F2">
        <w:rPr>
          <w:rFonts w:ascii="標楷體" w:eastAsia="標楷體" w:hAnsi="標楷體" w:hint="eastAsia"/>
          <w:sz w:val="36"/>
        </w:rPr>
        <w:lastRenderedPageBreak/>
        <w:t>屏東縣106學年度國際教育初階</w:t>
      </w:r>
      <w:r>
        <w:rPr>
          <w:rFonts w:ascii="標楷體" w:eastAsia="標楷體" w:hAnsi="標楷體" w:hint="eastAsia"/>
          <w:sz w:val="36"/>
        </w:rPr>
        <w:t>認證</w:t>
      </w:r>
      <w:r w:rsidRPr="008215F2">
        <w:rPr>
          <w:rFonts w:ascii="標楷體" w:eastAsia="標楷體" w:hAnsi="標楷體" w:hint="eastAsia"/>
          <w:sz w:val="36"/>
        </w:rPr>
        <w:t>課程大綱</w:t>
      </w:r>
    </w:p>
    <w:tbl>
      <w:tblPr>
        <w:tblStyle w:val="a4"/>
        <w:tblW w:w="10596"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4A0" w:firstRow="1" w:lastRow="0" w:firstColumn="1" w:lastColumn="0" w:noHBand="0" w:noVBand="1"/>
      </w:tblPr>
      <w:tblGrid>
        <w:gridCol w:w="905"/>
        <w:gridCol w:w="1842"/>
        <w:gridCol w:w="14"/>
        <w:gridCol w:w="4841"/>
        <w:gridCol w:w="1808"/>
        <w:gridCol w:w="1186"/>
      </w:tblGrid>
      <w:tr w:rsidR="008215F2" w:rsidRPr="003A0FC8" w:rsidTr="00913AAB">
        <w:trPr>
          <w:trHeight w:val="406"/>
          <w:jc w:val="center"/>
        </w:trPr>
        <w:tc>
          <w:tcPr>
            <w:tcW w:w="905"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面向</w:t>
            </w:r>
          </w:p>
        </w:tc>
        <w:tc>
          <w:tcPr>
            <w:tcW w:w="1842"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課程名稱</w:t>
            </w:r>
          </w:p>
        </w:tc>
        <w:tc>
          <w:tcPr>
            <w:tcW w:w="4855" w:type="dxa"/>
            <w:gridSpan w:val="2"/>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課程大綱</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主講人</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規劃時間</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場域與</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文化</w:t>
            </w: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全球化下的國際關係：國際教育的場域視角</w:t>
            </w:r>
          </w:p>
        </w:tc>
        <w:tc>
          <w:tcPr>
            <w:tcW w:w="4855" w:type="dxa"/>
            <w:gridSpan w:val="2"/>
            <w:vAlign w:val="center"/>
          </w:tcPr>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全球化下的國際關係</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WTO對（中小學）教育發展之影響</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全球化下國際教育的前瞻視野</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spacing w:line="260" w:lineRule="exact"/>
              <w:jc w:val="center"/>
              <w:rPr>
                <w:rFonts w:ascii="標楷體" w:eastAsia="標楷體" w:hAnsi="標楷體"/>
              </w:rPr>
            </w:pP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跨文化溝通的理論與實際：國際教育的文化視角</w:t>
            </w:r>
          </w:p>
        </w:tc>
        <w:tc>
          <w:tcPr>
            <w:tcW w:w="4855" w:type="dxa"/>
            <w:gridSpan w:val="2"/>
            <w:vAlign w:val="center"/>
          </w:tcPr>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跨文化溝通的全球意涵</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跨文化溝通的在地實踐</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跨文化溝通的衝突與協商</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跨文化溝通的教育思維</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理念</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國際教育理念分析</w:t>
            </w:r>
          </w:p>
        </w:tc>
        <w:tc>
          <w:tcPr>
            <w:tcW w:w="4855" w:type="dxa"/>
            <w:gridSpan w:val="2"/>
            <w:vAlign w:val="center"/>
          </w:tcPr>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國際化與國際教育關係</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sidRPr="00D41484">
              <w:rPr>
                <w:rFonts w:eastAsia="標楷體"/>
              </w:rPr>
              <w:t>)</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全球化國際關係結構下國際教育的變遷</w:t>
            </w:r>
          </w:p>
          <w:p w:rsidR="008215F2" w:rsidRDefault="008215F2" w:rsidP="00913AAB">
            <w:pPr>
              <w:numPr>
                <w:ilvl w:val="0"/>
                <w:numId w:val="20"/>
              </w:numPr>
              <w:tabs>
                <w:tab w:val="num" w:pos="0"/>
              </w:tabs>
              <w:spacing w:line="240" w:lineRule="exact"/>
              <w:rPr>
                <w:rFonts w:eastAsia="標楷體"/>
              </w:rPr>
            </w:pPr>
            <w:r w:rsidRPr="00D41484">
              <w:rPr>
                <w:rFonts w:eastAsia="標楷體"/>
              </w:rPr>
              <w:t>各國國際教育推動現況</w:t>
            </w:r>
          </w:p>
          <w:p w:rsidR="008215F2" w:rsidRPr="0051368E" w:rsidRDefault="008215F2" w:rsidP="00913AAB">
            <w:pPr>
              <w:numPr>
                <w:ilvl w:val="0"/>
                <w:numId w:val="20"/>
              </w:numPr>
              <w:tabs>
                <w:tab w:val="num" w:pos="0"/>
              </w:tabs>
              <w:spacing w:line="240" w:lineRule="exact"/>
              <w:rPr>
                <w:rFonts w:eastAsia="標楷體"/>
              </w:rPr>
            </w:pPr>
            <w:r w:rsidRPr="0051368E">
              <w:rPr>
                <w:rFonts w:eastAsia="標楷體"/>
              </w:rPr>
              <w:t>國際組織與各國國際教育推動現況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政策</w:t>
            </w:r>
          </w:p>
        </w:tc>
        <w:tc>
          <w:tcPr>
            <w:tcW w:w="1842" w:type="dxa"/>
            <w:shd w:val="clear" w:color="auto" w:fill="FFFFFF" w:themeFill="background1"/>
            <w:vAlign w:val="center"/>
          </w:tcPr>
          <w:p w:rsidR="008215F2" w:rsidRPr="003A0FC8" w:rsidRDefault="008215F2" w:rsidP="00913AAB">
            <w:pPr>
              <w:spacing w:line="260" w:lineRule="exact"/>
              <w:jc w:val="center"/>
              <w:rPr>
                <w:rFonts w:ascii="標楷體" w:eastAsia="標楷體" w:hAnsi="標楷體"/>
              </w:rPr>
            </w:pPr>
            <w:r w:rsidRPr="00D41484">
              <w:rPr>
                <w:rFonts w:eastAsia="標楷體"/>
              </w:rPr>
              <w:t>我國</w:t>
            </w:r>
            <w:r w:rsidRPr="00D41484">
              <w:rPr>
                <w:rFonts w:eastAsia="標楷體" w:hint="eastAsia"/>
              </w:rPr>
              <w:t>與各國</w:t>
            </w:r>
            <w:r w:rsidRPr="00D41484">
              <w:rPr>
                <w:rFonts w:eastAsia="標楷體"/>
              </w:rPr>
              <w:t>中小學國際教育政策與行動</w:t>
            </w:r>
          </w:p>
        </w:tc>
        <w:tc>
          <w:tcPr>
            <w:tcW w:w="4855" w:type="dxa"/>
            <w:gridSpan w:val="2"/>
            <w:vAlign w:val="center"/>
          </w:tcPr>
          <w:p w:rsidR="008215F2" w:rsidRPr="00D41484" w:rsidRDefault="008215F2" w:rsidP="00913AAB">
            <w:pPr>
              <w:numPr>
                <w:ilvl w:val="0"/>
                <w:numId w:val="21"/>
              </w:numPr>
              <w:tabs>
                <w:tab w:val="num" w:pos="0"/>
              </w:tabs>
              <w:spacing w:line="240" w:lineRule="exact"/>
              <w:rPr>
                <w:rFonts w:eastAsia="標楷體"/>
              </w:rPr>
            </w:pPr>
            <w:r w:rsidRPr="00D41484">
              <w:rPr>
                <w:rFonts w:eastAsia="標楷體"/>
              </w:rPr>
              <w:t>國際教育願景、目標、定義</w:t>
            </w:r>
          </w:p>
          <w:p w:rsidR="008215F2" w:rsidRDefault="008215F2" w:rsidP="00913AAB">
            <w:pPr>
              <w:numPr>
                <w:ilvl w:val="0"/>
                <w:numId w:val="21"/>
              </w:numPr>
              <w:tabs>
                <w:tab w:val="num" w:pos="0"/>
              </w:tabs>
              <w:spacing w:line="240" w:lineRule="exact"/>
              <w:rPr>
                <w:rFonts w:eastAsia="標楷體"/>
              </w:rPr>
            </w:pPr>
            <w:r w:rsidRPr="00D41484">
              <w:rPr>
                <w:rFonts w:eastAsia="標楷體"/>
              </w:rPr>
              <w:t>國際教育的推動策略</w:t>
            </w:r>
          </w:p>
          <w:p w:rsidR="008215F2" w:rsidRPr="0051368E" w:rsidRDefault="008215F2" w:rsidP="00913AAB">
            <w:pPr>
              <w:numPr>
                <w:ilvl w:val="0"/>
                <w:numId w:val="21"/>
              </w:numPr>
              <w:tabs>
                <w:tab w:val="num" w:pos="0"/>
              </w:tabs>
              <w:spacing w:line="240" w:lineRule="exact"/>
              <w:rPr>
                <w:rFonts w:eastAsia="標楷體"/>
              </w:rPr>
            </w:pPr>
            <w:r w:rsidRPr="0051368E">
              <w:rPr>
                <w:rFonts w:eastAsia="標楷體"/>
              </w:rPr>
              <w:t>國際教育的行動方案</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4855" w:type="dxa"/>
            <w:gridSpan w:val="2"/>
            <w:vAlign w:val="center"/>
          </w:tcPr>
          <w:p w:rsidR="008215F2" w:rsidRPr="00D41484"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8215F2"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8215F2" w:rsidRPr="0051368E" w:rsidRDefault="008215F2" w:rsidP="00913AAB">
            <w:pPr>
              <w:numPr>
                <w:ilvl w:val="0"/>
                <w:numId w:val="25"/>
              </w:numPr>
              <w:spacing w:line="240" w:lineRule="exact"/>
              <w:rPr>
                <w:rFonts w:eastAsia="標楷體"/>
              </w:rPr>
            </w:pPr>
            <w:r w:rsidRPr="0051368E">
              <w:rPr>
                <w:rFonts w:eastAsia="標楷體" w:hint="eastAsia"/>
              </w:rPr>
              <w:t>東南亞</w:t>
            </w:r>
            <w:r w:rsidRPr="0051368E">
              <w:rPr>
                <w:rFonts w:eastAsia="標楷體" w:hint="eastAsia"/>
              </w:rPr>
              <w:t>/</w:t>
            </w:r>
            <w:r w:rsidRPr="0051368E">
              <w:rPr>
                <w:rFonts w:eastAsia="標楷體" w:hint="eastAsia"/>
              </w:rPr>
              <w:t>南亞教育、經濟建設與區域合作</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實務</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國際交流</w:t>
            </w:r>
          </w:p>
        </w:tc>
        <w:tc>
          <w:tcPr>
            <w:tcW w:w="4855" w:type="dxa"/>
            <w:gridSpan w:val="2"/>
            <w:vAlign w:val="center"/>
          </w:tcPr>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辦理國際交流活動原則與立場</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國際交流的目標與模式</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國際交流的策略與資源</w:t>
            </w:r>
          </w:p>
          <w:p w:rsidR="008215F2" w:rsidRDefault="008215F2" w:rsidP="00913AAB">
            <w:pPr>
              <w:numPr>
                <w:ilvl w:val="0"/>
                <w:numId w:val="22"/>
              </w:numPr>
              <w:tabs>
                <w:tab w:val="num" w:pos="0"/>
              </w:tabs>
              <w:spacing w:line="240" w:lineRule="exact"/>
              <w:rPr>
                <w:rFonts w:eastAsia="標楷體"/>
              </w:rPr>
            </w:pPr>
            <w:r w:rsidRPr="00D41484">
              <w:rPr>
                <w:rFonts w:eastAsia="標楷體"/>
              </w:rPr>
              <w:t>如何設計國際交流活動</w:t>
            </w:r>
          </w:p>
          <w:p w:rsidR="008215F2" w:rsidRPr="0051368E" w:rsidRDefault="008215F2" w:rsidP="00913AAB">
            <w:pPr>
              <w:numPr>
                <w:ilvl w:val="0"/>
                <w:numId w:val="22"/>
              </w:numPr>
              <w:tabs>
                <w:tab w:val="num" w:pos="0"/>
              </w:tabs>
              <w:spacing w:line="240" w:lineRule="exact"/>
              <w:rPr>
                <w:rFonts w:eastAsia="標楷體"/>
              </w:rPr>
            </w:pPr>
            <w:r w:rsidRPr="0051368E">
              <w:rPr>
                <w:rFonts w:eastAsia="標楷體" w:hint="eastAsia"/>
              </w:rPr>
              <w:t>ICT</w:t>
            </w:r>
            <w:r w:rsidRPr="0051368E">
              <w:rPr>
                <w:rFonts w:eastAsia="標楷體" w:hint="eastAsia"/>
              </w:rPr>
              <w:t>運用與</w:t>
            </w:r>
            <w:r w:rsidRPr="0051368E">
              <w:rPr>
                <w:rFonts w:eastAsia="標楷體"/>
              </w:rPr>
              <w:t>國際交流之實例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課程發展與教學</w:t>
            </w:r>
          </w:p>
        </w:tc>
        <w:tc>
          <w:tcPr>
            <w:tcW w:w="4855" w:type="dxa"/>
            <w:gridSpan w:val="2"/>
            <w:vAlign w:val="center"/>
          </w:tcPr>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國際教育融入課程：What &amp; Why</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國際教育融入課程：原則與模式</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學校本位推動融入課程：設計與機制</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學校國際化</w:t>
            </w:r>
          </w:p>
        </w:tc>
        <w:tc>
          <w:tcPr>
            <w:tcW w:w="4855" w:type="dxa"/>
            <w:gridSpan w:val="2"/>
            <w:vAlign w:val="center"/>
          </w:tcPr>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學校國際化與國際教育的關係</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學校國際化之內涵</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學校國際化之實施原則</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6697" w:type="dxa"/>
            <w:gridSpan w:val="3"/>
            <w:vAlign w:val="center"/>
          </w:tcPr>
          <w:p w:rsidR="008215F2" w:rsidRPr="003A0FC8" w:rsidRDefault="008215F2" w:rsidP="00913AAB">
            <w:pPr>
              <w:ind w:leftChars="-50" w:left="-120"/>
              <w:jc w:val="center"/>
              <w:rPr>
                <w:rFonts w:ascii="標楷體" w:eastAsia="標楷體" w:hAnsi="標楷體"/>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56" w:type="dxa"/>
            <w:gridSpan w:val="2"/>
            <w:vAlign w:val="center"/>
          </w:tcPr>
          <w:p w:rsidR="008215F2" w:rsidRPr="003A0FC8" w:rsidRDefault="008215F2" w:rsidP="00913AAB">
            <w:pPr>
              <w:jc w:val="center"/>
              <w:rPr>
                <w:rFonts w:ascii="標楷體" w:eastAsia="標楷體" w:hAnsi="標楷體"/>
              </w:rPr>
            </w:pPr>
            <w:r w:rsidRPr="00D41484">
              <w:rPr>
                <w:rFonts w:eastAsia="標楷體" w:hint="eastAsia"/>
              </w:rPr>
              <w:t>國際教育實務演練</w:t>
            </w:r>
          </w:p>
        </w:tc>
        <w:tc>
          <w:tcPr>
            <w:tcW w:w="4841" w:type="dxa"/>
            <w:vAlign w:val="center"/>
          </w:tcPr>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國際交流實務運作研討與意見交流</w:t>
            </w:r>
          </w:p>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課程發展與教學實務運作研討與意見交流</w:t>
            </w:r>
          </w:p>
          <w:p w:rsidR="008215F2"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教師專業成長實務運作研討與意見交流</w:t>
            </w:r>
          </w:p>
          <w:p w:rsidR="008215F2" w:rsidRPr="0051368E" w:rsidRDefault="008215F2" w:rsidP="00913AAB">
            <w:pPr>
              <w:pStyle w:val="a3"/>
              <w:numPr>
                <w:ilvl w:val="0"/>
                <w:numId w:val="26"/>
              </w:numPr>
              <w:spacing w:line="240" w:lineRule="exact"/>
              <w:ind w:leftChars="0" w:left="232" w:hanging="232"/>
              <w:rPr>
                <w:rFonts w:ascii="Times New Roman" w:eastAsia="標楷體" w:hAnsi="Times New Roman"/>
              </w:rPr>
            </w:pPr>
            <w:r w:rsidRPr="0051368E">
              <w:rPr>
                <w:rFonts w:ascii="Times New Roman" w:eastAsia="標楷體" w:hAnsi="Times New Roman" w:hint="eastAsia"/>
              </w:rPr>
              <w:t>學校國際化實務運作研討與意見交流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trHeight w:val="506"/>
          <w:jc w:val="center"/>
        </w:trPr>
        <w:tc>
          <w:tcPr>
            <w:tcW w:w="905" w:type="dxa"/>
            <w:vMerge w:val="restart"/>
            <w:vAlign w:val="center"/>
          </w:tcPr>
          <w:p w:rsidR="008215F2" w:rsidRPr="003A0FC8" w:rsidRDefault="008215F2" w:rsidP="00913AAB">
            <w:pPr>
              <w:spacing w:beforeLines="50" w:before="180" w:afterLines="50" w:after="180"/>
              <w:jc w:val="center"/>
              <w:rPr>
                <w:rFonts w:ascii="標楷體" w:eastAsia="標楷體" w:hAnsi="標楷體"/>
              </w:rPr>
            </w:pPr>
            <w:r w:rsidRPr="003A0FC8">
              <w:rPr>
                <w:rFonts w:ascii="標楷體" w:eastAsia="標楷體" w:hAnsi="標楷體" w:hint="eastAsia"/>
              </w:rPr>
              <w:t>彈性課程</w:t>
            </w:r>
          </w:p>
        </w:tc>
        <w:tc>
          <w:tcPr>
            <w:tcW w:w="6697" w:type="dxa"/>
            <w:gridSpan w:val="3"/>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bCs/>
              </w:rPr>
              <w:t>國際教育課程融入實例與經驗分享</w:t>
            </w:r>
            <w:r>
              <w:rPr>
                <w:rFonts w:ascii="標楷體" w:eastAsia="標楷體" w:hAnsi="標楷體" w:hint="eastAsia"/>
                <w:bCs/>
              </w:rPr>
              <w:t>(</w:t>
            </w:r>
            <w:proofErr w:type="gramStart"/>
            <w:r>
              <w:rPr>
                <w:rFonts w:ascii="標楷體" w:eastAsia="標楷體" w:hAnsi="標楷體" w:hint="eastAsia"/>
                <w:bCs/>
              </w:rPr>
              <w:t>一</w:t>
            </w:r>
            <w:proofErr w:type="gramEnd"/>
            <w:r>
              <w:rPr>
                <w:rFonts w:ascii="標楷體" w:eastAsia="標楷體" w:hAnsi="標楷體" w:hint="eastAsia"/>
                <w:bCs/>
              </w:rPr>
              <w:t>)</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rPr>
              <w:t>12</w:t>
            </w:r>
            <w:r w:rsidRPr="003A0FC8">
              <w:rPr>
                <w:rFonts w:ascii="標楷體" w:eastAsia="標楷體" w:hAnsi="標楷體" w:hint="eastAsia"/>
              </w:rPr>
              <w:t>0分鐘</w:t>
            </w:r>
          </w:p>
        </w:tc>
      </w:tr>
      <w:tr w:rsidR="008215F2" w:rsidRPr="003A0FC8" w:rsidTr="00913AAB">
        <w:trPr>
          <w:trHeight w:val="1818"/>
          <w:jc w:val="center"/>
        </w:trPr>
        <w:tc>
          <w:tcPr>
            <w:tcW w:w="905" w:type="dxa"/>
            <w:vMerge/>
            <w:vAlign w:val="center"/>
          </w:tcPr>
          <w:p w:rsidR="008215F2" w:rsidRPr="003A0FC8" w:rsidRDefault="008215F2" w:rsidP="00913AAB">
            <w:pPr>
              <w:spacing w:beforeLines="50" w:before="180" w:afterLines="50" w:after="180"/>
              <w:jc w:val="center"/>
              <w:rPr>
                <w:rFonts w:ascii="標楷體" w:eastAsia="標楷體" w:hAnsi="標楷體"/>
              </w:rPr>
            </w:pPr>
          </w:p>
        </w:tc>
        <w:tc>
          <w:tcPr>
            <w:tcW w:w="6697" w:type="dxa"/>
            <w:gridSpan w:val="3"/>
            <w:vAlign w:val="center"/>
          </w:tcPr>
          <w:p w:rsidR="008215F2" w:rsidRPr="003A0FC8" w:rsidRDefault="008215F2" w:rsidP="00913AAB">
            <w:pPr>
              <w:jc w:val="center"/>
              <w:rPr>
                <w:rFonts w:ascii="標楷體" w:eastAsia="標楷體" w:hAnsi="標楷體"/>
                <w:bCs/>
              </w:rPr>
            </w:pPr>
            <w:r w:rsidRPr="003A0FC8">
              <w:rPr>
                <w:rFonts w:ascii="標楷體" w:eastAsia="標楷體" w:hAnsi="標楷體" w:hint="eastAsia"/>
                <w:bCs/>
              </w:rPr>
              <w:t>國際教育課程融入實例與經驗分享</w:t>
            </w:r>
            <w:r>
              <w:rPr>
                <w:rFonts w:ascii="標楷體" w:eastAsia="標楷體" w:hAnsi="標楷體" w:hint="eastAsia"/>
                <w:bCs/>
              </w:rPr>
              <w:t>(二)</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rPr>
              <w:t>丘麗英老師</w:t>
            </w:r>
          </w:p>
          <w:p w:rsidR="008215F2" w:rsidRPr="003A0FC8" w:rsidRDefault="008215F2" w:rsidP="00913AAB">
            <w:pPr>
              <w:snapToGrid w:val="0"/>
              <w:jc w:val="center"/>
              <w:rPr>
                <w:rFonts w:ascii="標楷體" w:eastAsia="標楷體" w:hAnsi="標楷體"/>
              </w:rPr>
            </w:pPr>
            <w:r>
              <w:rPr>
                <w:rFonts w:ascii="標楷體" w:eastAsia="標楷體" w:hAnsi="標楷體" w:hint="eastAsia"/>
              </w:rPr>
              <w:t>(</w:t>
            </w:r>
            <w:r w:rsidRPr="003A0FC8">
              <w:rPr>
                <w:rFonts w:ascii="標楷體" w:eastAsia="標楷體" w:hAnsi="標楷體" w:hint="eastAsia"/>
              </w:rPr>
              <w:t>師範大學國際教育課程種子教師</w:t>
            </w:r>
            <w:r w:rsidRPr="003A0FC8">
              <w:rPr>
                <w:rFonts w:ascii="標楷體" w:eastAsia="標楷體" w:hAnsi="標楷體"/>
              </w:rPr>
              <w:t>/</w:t>
            </w:r>
            <w:r w:rsidRPr="003A0FC8">
              <w:rPr>
                <w:rFonts w:ascii="標楷體" w:eastAsia="標楷體" w:hAnsi="標楷體" w:hint="eastAsia"/>
              </w:rPr>
              <w:t>國際教育優先區專家指導委員</w:t>
            </w:r>
            <w:r>
              <w:rPr>
                <w:rFonts w:ascii="標楷體" w:eastAsia="標楷體" w:hAnsi="標楷體" w:hint="eastAsia"/>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hint="eastAsia"/>
              </w:rPr>
              <w:t>120分鐘</w:t>
            </w:r>
          </w:p>
        </w:tc>
      </w:tr>
      <w:tr w:rsidR="008215F2" w:rsidRPr="003A0FC8" w:rsidTr="00913AAB">
        <w:trPr>
          <w:trHeight w:val="634"/>
          <w:jc w:val="center"/>
        </w:trPr>
        <w:tc>
          <w:tcPr>
            <w:tcW w:w="7602" w:type="dxa"/>
            <w:gridSpan w:val="4"/>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研習時數總計</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b/>
              </w:rPr>
            </w:pPr>
          </w:p>
          <w:p w:rsidR="008215F2" w:rsidRPr="003A0FC8" w:rsidRDefault="008215F2" w:rsidP="00913AAB">
            <w:pPr>
              <w:jc w:val="center"/>
              <w:rPr>
                <w:rFonts w:ascii="標楷體" w:eastAsia="標楷體" w:hAnsi="標楷體"/>
                <w:b/>
              </w:rPr>
            </w:pP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24小時</w:t>
            </w:r>
          </w:p>
          <w:p w:rsidR="008215F2" w:rsidRPr="003A0FC8" w:rsidRDefault="008215F2" w:rsidP="00913AAB">
            <w:pPr>
              <w:jc w:val="center"/>
              <w:rPr>
                <w:rFonts w:ascii="標楷體" w:eastAsia="標楷體" w:hAnsi="標楷體"/>
                <w:b/>
                <w:sz w:val="18"/>
                <w:szCs w:val="18"/>
              </w:rPr>
            </w:pPr>
            <w:r w:rsidRPr="003A0FC8">
              <w:rPr>
                <w:rFonts w:ascii="標楷體" w:eastAsia="標楷體" w:hAnsi="標楷體" w:hint="eastAsia"/>
                <w:b/>
                <w:sz w:val="18"/>
                <w:szCs w:val="18"/>
              </w:rPr>
              <w:t>(1440分鐘)</w:t>
            </w:r>
          </w:p>
        </w:tc>
      </w:tr>
    </w:tbl>
    <w:p w:rsidR="008215F2" w:rsidRDefault="008215F2">
      <w:pPr>
        <w:widowControl/>
        <w:rPr>
          <w:rFonts w:ascii="標楷體" w:eastAsia="標楷體" w:hAnsi="標楷體"/>
        </w:rPr>
      </w:pPr>
    </w:p>
    <w:sectPr w:rsidR="008215F2" w:rsidSect="005A0CD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D1" w:rsidRDefault="008B37D1" w:rsidP="00F7180B">
      <w:r>
        <w:separator/>
      </w:r>
    </w:p>
  </w:endnote>
  <w:endnote w:type="continuationSeparator" w:id="0">
    <w:p w:rsidR="008B37D1" w:rsidRDefault="008B37D1" w:rsidP="00F7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D1" w:rsidRDefault="008B37D1" w:rsidP="00F7180B">
      <w:r>
        <w:separator/>
      </w:r>
    </w:p>
  </w:footnote>
  <w:footnote w:type="continuationSeparator" w:id="0">
    <w:p w:rsidR="008B37D1" w:rsidRDefault="008B37D1" w:rsidP="00F7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68C"/>
    <w:multiLevelType w:val="hybridMultilevel"/>
    <w:tmpl w:val="AE64AFEE"/>
    <w:lvl w:ilvl="0" w:tplc="725214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6952CD"/>
    <w:multiLevelType w:val="multilevel"/>
    <w:tmpl w:val="086952CD"/>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8E607BA"/>
    <w:multiLevelType w:val="hybridMultilevel"/>
    <w:tmpl w:val="52FE47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DC7452"/>
    <w:multiLevelType w:val="hybridMultilevel"/>
    <w:tmpl w:val="20FA7318"/>
    <w:lvl w:ilvl="0" w:tplc="6EA662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F72D11"/>
    <w:multiLevelType w:val="hybridMultilevel"/>
    <w:tmpl w:val="E3942626"/>
    <w:lvl w:ilvl="0" w:tplc="F11AF28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BF13DA"/>
    <w:multiLevelType w:val="hybridMultilevel"/>
    <w:tmpl w:val="4CF0F340"/>
    <w:lvl w:ilvl="0" w:tplc="32CAF9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8910C3C"/>
    <w:multiLevelType w:val="hybridMultilevel"/>
    <w:tmpl w:val="245AEF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9B79F5"/>
    <w:multiLevelType w:val="multilevel"/>
    <w:tmpl w:val="289B79F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A1773A4"/>
    <w:multiLevelType w:val="hybridMultilevel"/>
    <w:tmpl w:val="F84E4F94"/>
    <w:lvl w:ilvl="0" w:tplc="74764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54269"/>
    <w:multiLevelType w:val="hybridMultilevel"/>
    <w:tmpl w:val="99F82A62"/>
    <w:lvl w:ilvl="0" w:tplc="A4EA1D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414883"/>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FF5203"/>
    <w:multiLevelType w:val="hybridMultilevel"/>
    <w:tmpl w:val="8418FF52"/>
    <w:lvl w:ilvl="0" w:tplc="E5ACA4B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829415E"/>
    <w:multiLevelType w:val="multilevel"/>
    <w:tmpl w:val="3829415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97F6FEE"/>
    <w:multiLevelType w:val="multilevel"/>
    <w:tmpl w:val="397F6FE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E951AC5"/>
    <w:multiLevelType w:val="multilevel"/>
    <w:tmpl w:val="3E951AC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46606AF"/>
    <w:multiLevelType w:val="hybridMultilevel"/>
    <w:tmpl w:val="C00AB058"/>
    <w:lvl w:ilvl="0" w:tplc="BA9C97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57314780"/>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CC952D1"/>
    <w:multiLevelType w:val="hybridMultilevel"/>
    <w:tmpl w:val="C6F2CFD2"/>
    <w:lvl w:ilvl="0" w:tplc="6A56CA2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5F731C56"/>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9873D8"/>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36363F"/>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35D11C8"/>
    <w:multiLevelType w:val="multilevel"/>
    <w:tmpl w:val="735D11C8"/>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50641D2"/>
    <w:multiLevelType w:val="multilevel"/>
    <w:tmpl w:val="750641D2"/>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50F0265"/>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6"/>
  </w:num>
  <w:num w:numId="3">
    <w:abstractNumId w:val="17"/>
  </w:num>
  <w:num w:numId="4">
    <w:abstractNumId w:val="25"/>
  </w:num>
  <w:num w:numId="5">
    <w:abstractNumId w:val="9"/>
  </w:num>
  <w:num w:numId="6">
    <w:abstractNumId w:val="20"/>
  </w:num>
  <w:num w:numId="7">
    <w:abstractNumId w:val="0"/>
  </w:num>
  <w:num w:numId="8">
    <w:abstractNumId w:val="19"/>
  </w:num>
  <w:num w:numId="9">
    <w:abstractNumId w:val="15"/>
  </w:num>
  <w:num w:numId="10">
    <w:abstractNumId w:val="8"/>
  </w:num>
  <w:num w:numId="11">
    <w:abstractNumId w:val="18"/>
  </w:num>
  <w:num w:numId="12">
    <w:abstractNumId w:val="10"/>
  </w:num>
  <w:num w:numId="13">
    <w:abstractNumId w:val="5"/>
  </w:num>
  <w:num w:numId="14">
    <w:abstractNumId w:val="3"/>
  </w:num>
  <w:num w:numId="15">
    <w:abstractNumId w:val="22"/>
  </w:num>
  <w:num w:numId="16">
    <w:abstractNumId w:val="11"/>
  </w:num>
  <w:num w:numId="17">
    <w:abstractNumId w:val="4"/>
  </w:num>
  <w:num w:numId="18">
    <w:abstractNumId w:val="12"/>
  </w:num>
  <w:num w:numId="19">
    <w:abstractNumId w:val="13"/>
  </w:num>
  <w:num w:numId="20">
    <w:abstractNumId w:val="23"/>
  </w:num>
  <w:num w:numId="21">
    <w:abstractNumId w:val="1"/>
  </w:num>
  <w:num w:numId="22">
    <w:abstractNumId w:val="14"/>
  </w:num>
  <w:num w:numId="23">
    <w:abstractNumId w:val="7"/>
  </w:num>
  <w:num w:numId="24">
    <w:abstractNumId w:val="2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4"/>
    <w:rsid w:val="00056CEF"/>
    <w:rsid w:val="000F10DB"/>
    <w:rsid w:val="00132FB0"/>
    <w:rsid w:val="00134155"/>
    <w:rsid w:val="00143685"/>
    <w:rsid w:val="0014393E"/>
    <w:rsid w:val="00197221"/>
    <w:rsid w:val="001C054A"/>
    <w:rsid w:val="001C5772"/>
    <w:rsid w:val="001E09E6"/>
    <w:rsid w:val="002777E5"/>
    <w:rsid w:val="0029147F"/>
    <w:rsid w:val="002C4EEF"/>
    <w:rsid w:val="002F7D9F"/>
    <w:rsid w:val="00320E01"/>
    <w:rsid w:val="003325CE"/>
    <w:rsid w:val="00380F10"/>
    <w:rsid w:val="003B6EA5"/>
    <w:rsid w:val="0045560C"/>
    <w:rsid w:val="004A5E4C"/>
    <w:rsid w:val="00516154"/>
    <w:rsid w:val="005A0CDB"/>
    <w:rsid w:val="005B3F28"/>
    <w:rsid w:val="005D1243"/>
    <w:rsid w:val="005F2290"/>
    <w:rsid w:val="00664261"/>
    <w:rsid w:val="0067082C"/>
    <w:rsid w:val="0070683F"/>
    <w:rsid w:val="0071233F"/>
    <w:rsid w:val="0072576C"/>
    <w:rsid w:val="00806087"/>
    <w:rsid w:val="0081582B"/>
    <w:rsid w:val="008215F2"/>
    <w:rsid w:val="00823F73"/>
    <w:rsid w:val="00896B5F"/>
    <w:rsid w:val="008B37D1"/>
    <w:rsid w:val="008D23F1"/>
    <w:rsid w:val="00927D49"/>
    <w:rsid w:val="00995437"/>
    <w:rsid w:val="009B35C1"/>
    <w:rsid w:val="00A01341"/>
    <w:rsid w:val="00A0524B"/>
    <w:rsid w:val="00A24A06"/>
    <w:rsid w:val="00A47239"/>
    <w:rsid w:val="00A61946"/>
    <w:rsid w:val="00A94F4F"/>
    <w:rsid w:val="00AB0A3F"/>
    <w:rsid w:val="00AB6D2F"/>
    <w:rsid w:val="00BA52BA"/>
    <w:rsid w:val="00BD6328"/>
    <w:rsid w:val="00C02A7C"/>
    <w:rsid w:val="00C933CA"/>
    <w:rsid w:val="00CB5908"/>
    <w:rsid w:val="00D31BD8"/>
    <w:rsid w:val="00DC7CA4"/>
    <w:rsid w:val="00E23E75"/>
    <w:rsid w:val="00E36DE5"/>
    <w:rsid w:val="00E6185F"/>
    <w:rsid w:val="00F2219C"/>
    <w:rsid w:val="00F7180B"/>
    <w:rsid w:val="00F860D0"/>
    <w:rsid w:val="00FA223C"/>
    <w:rsid w:val="00FD6FAC"/>
    <w:rsid w:val="00FE18C2"/>
    <w:rsid w:val="00FF3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Windows 使用者</cp:lastModifiedBy>
  <cp:revision>2</cp:revision>
  <cp:lastPrinted>2018-05-29T08:59:00Z</cp:lastPrinted>
  <dcterms:created xsi:type="dcterms:W3CDTF">2018-05-29T09:03:00Z</dcterms:created>
  <dcterms:modified xsi:type="dcterms:W3CDTF">2018-05-29T09:03:00Z</dcterms:modified>
</cp:coreProperties>
</file>