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166" w:rsidRDefault="00616A47">
      <w:pPr>
        <w:pStyle w:val="Standard"/>
        <w:spacing w:after="360" w:line="440" w:lineRule="exact"/>
        <w:jc w:val="center"/>
      </w:pPr>
      <w:bookmarkStart w:id="0" w:name="_GoBack"/>
      <w:r>
        <w:rPr>
          <w:rFonts w:ascii="標楷體" w:eastAsia="標楷體" w:hAnsi="標楷體"/>
          <w:b/>
          <w:sz w:val="32"/>
          <w:szCs w:val="32"/>
        </w:rPr>
        <w:t>教師敘薪事項解釋函停止適用(部分停止適用)一覽表</w:t>
      </w:r>
      <w:bookmarkEnd w:id="0"/>
    </w:p>
    <w:tbl>
      <w:tblPr>
        <w:tblW w:w="9360" w:type="dxa"/>
        <w:tblInd w:w="-113" w:type="dxa"/>
        <w:tblLayout w:type="fixed"/>
        <w:tblCellMar>
          <w:left w:w="10" w:type="dxa"/>
          <w:right w:w="10" w:type="dxa"/>
        </w:tblCellMar>
        <w:tblLook w:val="0000"/>
      </w:tblPr>
      <w:tblGrid>
        <w:gridCol w:w="846"/>
        <w:gridCol w:w="1843"/>
        <w:gridCol w:w="3491"/>
        <w:gridCol w:w="3180"/>
      </w:tblGrid>
      <w:tr w:rsidR="00172166">
        <w:trPr>
          <w:tblHeader/>
        </w:trPr>
        <w:tc>
          <w:tcPr>
            <w:tcW w:w="84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72166" w:rsidRDefault="00616A47">
            <w:pPr>
              <w:pStyle w:val="Standard"/>
              <w:spacing w:line="440" w:lineRule="exact"/>
              <w:jc w:val="center"/>
            </w:pPr>
            <w:r>
              <w:rPr>
                <w:rFonts w:ascii="標楷體" w:eastAsia="標楷體" w:hAnsi="標楷體"/>
                <w:szCs w:val="24"/>
              </w:rPr>
              <w:t>編號</w:t>
            </w:r>
          </w:p>
        </w:tc>
        <w:tc>
          <w:tcPr>
            <w:tcW w:w="18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72166" w:rsidRDefault="00616A47">
            <w:pPr>
              <w:pStyle w:val="Standard"/>
              <w:spacing w:line="440" w:lineRule="exact"/>
              <w:jc w:val="center"/>
            </w:pPr>
            <w:r>
              <w:rPr>
                <w:rFonts w:ascii="標楷體" w:eastAsia="標楷體" w:hAnsi="標楷體"/>
                <w:szCs w:val="24"/>
              </w:rPr>
              <w:t>日期文號</w:t>
            </w:r>
          </w:p>
        </w:tc>
        <w:tc>
          <w:tcPr>
            <w:tcW w:w="34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72166" w:rsidRDefault="00616A47">
            <w:pPr>
              <w:pStyle w:val="Standard"/>
              <w:spacing w:line="440" w:lineRule="exact"/>
              <w:jc w:val="center"/>
            </w:pPr>
            <w:r>
              <w:rPr>
                <w:rFonts w:ascii="標楷體" w:eastAsia="標楷體" w:hAnsi="標楷體"/>
                <w:szCs w:val="24"/>
              </w:rPr>
              <w:t>函釋要旨</w:t>
            </w:r>
          </w:p>
        </w:tc>
        <w:tc>
          <w:tcPr>
            <w:tcW w:w="318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72166" w:rsidRDefault="00616A47">
            <w:pPr>
              <w:pStyle w:val="Standard"/>
              <w:spacing w:line="440" w:lineRule="exact"/>
              <w:jc w:val="center"/>
            </w:pPr>
            <w:r>
              <w:rPr>
                <w:rFonts w:ascii="標楷體" w:eastAsia="標楷體" w:hAnsi="標楷體"/>
                <w:szCs w:val="24"/>
              </w:rPr>
              <w:t>停止適用理由</w:t>
            </w:r>
          </w:p>
        </w:tc>
      </w:tr>
      <w:tr w:rsidR="00172166">
        <w:trPr>
          <w:trHeight w:val="3690"/>
        </w:trPr>
        <w:tc>
          <w:tcPr>
            <w:tcW w:w="84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72166" w:rsidRDefault="00616A47">
            <w:pPr>
              <w:pStyle w:val="Standard"/>
              <w:spacing w:line="280" w:lineRule="exact"/>
              <w:jc w:val="center"/>
            </w:pPr>
            <w:r>
              <w:rPr>
                <w:rFonts w:ascii="標楷體" w:eastAsia="標楷體" w:hAnsi="標楷體"/>
                <w:sz w:val="20"/>
                <w:szCs w:val="20"/>
              </w:rPr>
              <w:t>1</w:t>
            </w:r>
          </w:p>
        </w:tc>
        <w:tc>
          <w:tcPr>
            <w:tcW w:w="18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72166" w:rsidRDefault="00616A47">
            <w:pPr>
              <w:pStyle w:val="Standard"/>
              <w:spacing w:line="280" w:lineRule="exact"/>
            </w:pPr>
            <w:r>
              <w:rPr>
                <w:rFonts w:ascii="標楷體" w:eastAsia="標楷體" w:hAnsi="標楷體"/>
                <w:sz w:val="20"/>
                <w:szCs w:val="20"/>
              </w:rPr>
              <w:t>80.5.9台（80）人字22515號書函</w:t>
            </w:r>
          </w:p>
        </w:tc>
        <w:tc>
          <w:tcPr>
            <w:tcW w:w="34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72166" w:rsidRDefault="00616A47">
            <w:pPr>
              <w:pStyle w:val="Standard"/>
              <w:spacing w:line="280" w:lineRule="exact"/>
              <w:jc w:val="both"/>
            </w:pPr>
            <w:r>
              <w:rPr>
                <w:rFonts w:ascii="標楷體" w:eastAsia="標楷體" w:hAnsi="標楷體"/>
                <w:sz w:val="20"/>
                <w:szCs w:val="20"/>
              </w:rPr>
              <w:t>一般行政機關公務人員轉任各級學校教師，於採計公務人員年資時，得依教師學歷起薪（專科以上學校教師自本職最低等級起薪），並採計其與教師職務等級相當，且服務成績優良之年資（考績（成）列乙等以上），每滿1年提敘1級，但應受教師本職最高薪限制；惟經採計服務年資後之薪級如低於原經銓敘有案之俸級時，得依原銓敘之俸級核敘，並受教師本職最高年功薪限制。</w:t>
            </w:r>
          </w:p>
        </w:tc>
        <w:tc>
          <w:tcPr>
            <w:tcW w:w="318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72166" w:rsidRDefault="00616A47">
            <w:pPr>
              <w:pStyle w:val="Standard"/>
              <w:spacing w:line="280" w:lineRule="exact"/>
              <w:jc w:val="both"/>
            </w:pPr>
            <w:r>
              <w:rPr>
                <w:rFonts w:ascii="標楷體" w:eastAsia="標楷體" w:hAnsi="標楷體"/>
                <w:sz w:val="20"/>
                <w:szCs w:val="20"/>
              </w:rPr>
              <w:t>教師待遇條例(以下簡稱待遇條例)並未定有教師得逕依原經銓敘審定有案之俸級核敘相關規定，該書函有關公務人員轉任各級學校教師採計公務人員年資後之薪級如低於原經銓敘審定有案之俸級時，得依原銓敘之俸級核敘並受教師本職最高年功薪限制部分，停止適用。</w:t>
            </w:r>
          </w:p>
        </w:tc>
      </w:tr>
      <w:tr w:rsidR="00172166">
        <w:trPr>
          <w:trHeight w:val="2877"/>
        </w:trPr>
        <w:tc>
          <w:tcPr>
            <w:tcW w:w="84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72166" w:rsidRDefault="00616A47">
            <w:pPr>
              <w:pStyle w:val="Standard"/>
              <w:spacing w:line="280" w:lineRule="exact"/>
              <w:jc w:val="center"/>
            </w:pPr>
            <w:r>
              <w:rPr>
                <w:rFonts w:ascii="標楷體" w:eastAsia="標楷體" w:hAnsi="標楷體"/>
                <w:sz w:val="20"/>
                <w:szCs w:val="20"/>
              </w:rPr>
              <w:t>2</w:t>
            </w:r>
          </w:p>
        </w:tc>
        <w:tc>
          <w:tcPr>
            <w:tcW w:w="18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72166" w:rsidRDefault="00616A47">
            <w:pPr>
              <w:pStyle w:val="Standard"/>
              <w:spacing w:line="280" w:lineRule="exact"/>
            </w:pPr>
            <w:r>
              <w:rPr>
                <w:rFonts w:ascii="標楷體" w:eastAsia="標楷體" w:hAnsi="標楷體"/>
                <w:sz w:val="20"/>
                <w:szCs w:val="20"/>
              </w:rPr>
              <w:t>88.10.12台（88）人（一）字第88122956號書函</w:t>
            </w:r>
          </w:p>
        </w:tc>
        <w:tc>
          <w:tcPr>
            <w:tcW w:w="34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72166" w:rsidRDefault="00616A47">
            <w:pPr>
              <w:pStyle w:val="Standard"/>
              <w:spacing w:line="280" w:lineRule="exact"/>
              <w:jc w:val="both"/>
            </w:pPr>
            <w:r>
              <w:rPr>
                <w:rFonts w:ascii="標楷體" w:eastAsia="標楷體" w:hAnsi="標楷體"/>
                <w:sz w:val="20"/>
                <w:szCs w:val="20"/>
              </w:rPr>
              <w:t>行政機關公務人員轉任國中校長，得由2種敘薪方式中擇1辦理，其一為按學歷敘薪，具博士學位者，自330元起敘，其曾任公務人員、國小教師等職前年資，如低於330元薪級者，係屬職務等級不相當，不得予以採計提敘薪級；其二為在教師本職最高年功薪範圍內逕按其原經銓敘有案之俸級換敘支薪。</w:t>
            </w:r>
          </w:p>
        </w:tc>
        <w:tc>
          <w:tcPr>
            <w:tcW w:w="318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72166" w:rsidRDefault="00616A47">
            <w:pPr>
              <w:pStyle w:val="Standard"/>
              <w:spacing w:line="280" w:lineRule="exact"/>
              <w:jc w:val="both"/>
            </w:pPr>
            <w:r>
              <w:rPr>
                <w:rFonts w:ascii="標楷體" w:eastAsia="標楷體" w:hAnsi="標楷體"/>
                <w:sz w:val="20"/>
                <w:szCs w:val="20"/>
              </w:rPr>
              <w:t>待遇條例未定有教師得逕依原經銓敘審定有案之俸級核敘相關規定（按：依待遇條例第21條規定，公立學校校長準用公立學校教師之規定），該書函有關公務人員轉任國中校長後得在教師本職最高年功薪範圍內逕按其原經銓敘有案之俸級換敘支薪部分，停止適用。</w:t>
            </w:r>
          </w:p>
        </w:tc>
      </w:tr>
      <w:tr w:rsidR="00172166">
        <w:trPr>
          <w:trHeight w:val="1940"/>
        </w:trPr>
        <w:tc>
          <w:tcPr>
            <w:tcW w:w="84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72166" w:rsidRDefault="00616A47">
            <w:pPr>
              <w:pStyle w:val="Standard"/>
              <w:spacing w:line="280" w:lineRule="exact"/>
              <w:jc w:val="center"/>
            </w:pPr>
            <w:r>
              <w:rPr>
                <w:rFonts w:ascii="標楷體" w:eastAsia="標楷體" w:hAnsi="標楷體"/>
                <w:sz w:val="20"/>
                <w:szCs w:val="20"/>
              </w:rPr>
              <w:t>3</w:t>
            </w:r>
          </w:p>
        </w:tc>
        <w:tc>
          <w:tcPr>
            <w:tcW w:w="18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72166" w:rsidRDefault="00616A47">
            <w:pPr>
              <w:pStyle w:val="Standard"/>
              <w:spacing w:line="280" w:lineRule="exact"/>
            </w:pPr>
            <w:r>
              <w:rPr>
                <w:rFonts w:ascii="標楷體" w:eastAsia="標楷體" w:hAnsi="標楷體"/>
                <w:sz w:val="20"/>
                <w:szCs w:val="20"/>
              </w:rPr>
              <w:t>85.7.27台（85）人（一）字第85051179號函</w:t>
            </w:r>
          </w:p>
        </w:tc>
        <w:tc>
          <w:tcPr>
            <w:tcW w:w="34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72166" w:rsidRDefault="00616A47">
            <w:pPr>
              <w:pStyle w:val="Standard"/>
              <w:spacing w:line="280" w:lineRule="exact"/>
              <w:jc w:val="both"/>
            </w:pPr>
            <w:r>
              <w:rPr>
                <w:rFonts w:ascii="標楷體" w:eastAsia="標楷體" w:hAnsi="標楷體"/>
                <w:sz w:val="20"/>
                <w:szCs w:val="20"/>
              </w:rPr>
              <w:t>曾任依「行政院暨所屬機關約僱人員僱用辦法」僱用之約僱人員年資，具有服務成績優良之證明文件者，視同相當委任之年資，得於本薪230元範圍內，每滿1年提敘1級。</w:t>
            </w:r>
          </w:p>
        </w:tc>
        <w:tc>
          <w:tcPr>
            <w:tcW w:w="318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72166" w:rsidRDefault="00616A47">
            <w:pPr>
              <w:pStyle w:val="Standard"/>
              <w:spacing w:line="280" w:lineRule="exact"/>
              <w:jc w:val="both"/>
            </w:pPr>
            <w:r>
              <w:rPr>
                <w:rFonts w:ascii="標楷體" w:eastAsia="標楷體" w:hAnsi="標楷體"/>
                <w:sz w:val="20"/>
                <w:szCs w:val="20"/>
              </w:rPr>
              <w:t>教師職前曾任約僱人員年資之採計提敘應符合等級相當之要件，該函有關約僱人員年資視同相當委任之年資，得於本薪230元範圍內，每滿1年提敘1級部分，停止適用。</w:t>
            </w:r>
          </w:p>
        </w:tc>
      </w:tr>
      <w:tr w:rsidR="00172166">
        <w:trPr>
          <w:trHeight w:val="2136"/>
        </w:trPr>
        <w:tc>
          <w:tcPr>
            <w:tcW w:w="84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72166" w:rsidRDefault="00616A47">
            <w:pPr>
              <w:pStyle w:val="Standard"/>
              <w:tabs>
                <w:tab w:val="center" w:pos="315"/>
              </w:tabs>
              <w:spacing w:line="280" w:lineRule="exact"/>
              <w:jc w:val="center"/>
            </w:pPr>
            <w:r>
              <w:rPr>
                <w:rFonts w:ascii="標楷體" w:eastAsia="標楷體" w:hAnsi="標楷體"/>
                <w:sz w:val="20"/>
                <w:szCs w:val="20"/>
              </w:rPr>
              <w:t>4</w:t>
            </w:r>
          </w:p>
        </w:tc>
        <w:tc>
          <w:tcPr>
            <w:tcW w:w="18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72166" w:rsidRDefault="00616A47">
            <w:pPr>
              <w:pStyle w:val="Standard"/>
              <w:spacing w:line="280" w:lineRule="exact"/>
            </w:pPr>
            <w:r>
              <w:rPr>
                <w:rFonts w:ascii="標楷體" w:eastAsia="標楷體" w:hAnsi="標楷體"/>
                <w:sz w:val="20"/>
                <w:szCs w:val="20"/>
              </w:rPr>
              <w:t>85.9.18台（85）人（一）字第85080324號書函</w:t>
            </w:r>
          </w:p>
        </w:tc>
        <w:tc>
          <w:tcPr>
            <w:tcW w:w="34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72166" w:rsidRDefault="00616A47">
            <w:pPr>
              <w:pStyle w:val="Standard"/>
              <w:spacing w:line="280" w:lineRule="exact"/>
              <w:jc w:val="both"/>
            </w:pPr>
            <w:r>
              <w:rPr>
                <w:rFonts w:ascii="標楷體" w:eastAsia="標楷體" w:hAnsi="標楷體"/>
                <w:sz w:val="20"/>
                <w:szCs w:val="20"/>
              </w:rPr>
              <w:t>中小學教師職前曾服預備軍官役1年10個月之年資，依「公立學校教職員敘薪辦法補充要點」第16點規定：「服預備軍官役年資，得每滿1年提敘1級支薪。」規定，得在相當委任230元薪級範圍內，提敘一級支薪。</w:t>
            </w:r>
          </w:p>
        </w:tc>
        <w:tc>
          <w:tcPr>
            <w:tcW w:w="318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72166" w:rsidRDefault="00616A47">
            <w:pPr>
              <w:pStyle w:val="Standard"/>
              <w:spacing w:line="280" w:lineRule="exact"/>
              <w:jc w:val="both"/>
            </w:pPr>
            <w:r>
              <w:rPr>
                <w:rFonts w:ascii="標楷體" w:eastAsia="標楷體" w:hAnsi="標楷體"/>
                <w:sz w:val="20"/>
                <w:szCs w:val="20"/>
              </w:rPr>
              <w:t>教師職前曾任預備軍官年資應符合等級相當及服務成績優良等要件始得採計提敘，該書函有關中小學教師曾任預備軍官之年資，得在相當委任230元薪級範圍內，每滿1年提敘1級部分，停止適用。</w:t>
            </w:r>
          </w:p>
        </w:tc>
      </w:tr>
      <w:tr w:rsidR="00172166">
        <w:trPr>
          <w:trHeight w:val="2052"/>
        </w:trPr>
        <w:tc>
          <w:tcPr>
            <w:tcW w:w="84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72166" w:rsidRDefault="00616A47">
            <w:pPr>
              <w:pStyle w:val="Standard"/>
              <w:tabs>
                <w:tab w:val="center" w:pos="315"/>
              </w:tabs>
              <w:spacing w:line="280" w:lineRule="exact"/>
              <w:jc w:val="center"/>
            </w:pPr>
            <w:r>
              <w:rPr>
                <w:rFonts w:ascii="標楷體" w:eastAsia="標楷體" w:hAnsi="標楷體"/>
                <w:sz w:val="20"/>
                <w:szCs w:val="20"/>
              </w:rPr>
              <w:t>5</w:t>
            </w:r>
          </w:p>
        </w:tc>
        <w:tc>
          <w:tcPr>
            <w:tcW w:w="18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72166" w:rsidRDefault="00616A47">
            <w:pPr>
              <w:pStyle w:val="Standard"/>
              <w:spacing w:line="280" w:lineRule="exact"/>
            </w:pPr>
            <w:r>
              <w:rPr>
                <w:rFonts w:ascii="標楷體" w:eastAsia="標楷體" w:hAnsi="標楷體"/>
                <w:sz w:val="20"/>
                <w:szCs w:val="20"/>
              </w:rPr>
              <w:t>87.2.2台（87）人（一）字第87001568號書函</w:t>
            </w:r>
          </w:p>
        </w:tc>
        <w:tc>
          <w:tcPr>
            <w:tcW w:w="34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72166" w:rsidRDefault="00616A47">
            <w:pPr>
              <w:pStyle w:val="Standard"/>
              <w:spacing w:line="280" w:lineRule="exact"/>
              <w:jc w:val="both"/>
            </w:pPr>
            <w:r>
              <w:rPr>
                <w:rFonts w:ascii="標楷體" w:eastAsia="標楷體" w:hAnsi="標楷體"/>
                <w:sz w:val="20"/>
                <w:szCs w:val="20"/>
              </w:rPr>
              <w:t>預備軍官年資提敘係採計授階後之軍官年資，授階前之年資尚不予採計，且少尉官階相當委任職務，故中小學教師採計預備軍官年資，仍應依現行規定於230元以下範圍內採計提敘1級。</w:t>
            </w:r>
          </w:p>
        </w:tc>
        <w:tc>
          <w:tcPr>
            <w:tcW w:w="318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72166" w:rsidRDefault="00616A47">
            <w:pPr>
              <w:pStyle w:val="Standard"/>
              <w:spacing w:line="280" w:lineRule="exact"/>
              <w:jc w:val="both"/>
            </w:pPr>
            <w:r>
              <w:rPr>
                <w:rFonts w:ascii="標楷體" w:eastAsia="標楷體" w:hAnsi="標楷體"/>
                <w:sz w:val="20"/>
                <w:szCs w:val="20"/>
              </w:rPr>
              <w:t>依待遇條例第9條規定，公立學校教師職前曾任預備軍官年資之採計提敘仍應視其等級是否相當及服務成績是否優良，該書函有關公立學校教師曾任預備軍官年資，得在相當委任230元薪級範圍內，每滿1年提敘1級部分，停止適用。</w:t>
            </w:r>
          </w:p>
        </w:tc>
      </w:tr>
      <w:tr w:rsidR="00172166">
        <w:trPr>
          <w:trHeight w:val="2375"/>
        </w:trPr>
        <w:tc>
          <w:tcPr>
            <w:tcW w:w="84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72166" w:rsidRDefault="00616A47">
            <w:pPr>
              <w:pStyle w:val="Standard"/>
              <w:tabs>
                <w:tab w:val="center" w:pos="315"/>
              </w:tabs>
              <w:spacing w:line="280" w:lineRule="exact"/>
              <w:jc w:val="center"/>
            </w:pPr>
            <w:r>
              <w:rPr>
                <w:rFonts w:ascii="標楷體" w:eastAsia="標楷體" w:hAnsi="標楷體"/>
                <w:sz w:val="20"/>
                <w:szCs w:val="20"/>
              </w:rPr>
              <w:lastRenderedPageBreak/>
              <w:t>6</w:t>
            </w:r>
          </w:p>
        </w:tc>
        <w:tc>
          <w:tcPr>
            <w:tcW w:w="18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72166" w:rsidRDefault="00616A47">
            <w:pPr>
              <w:pStyle w:val="Standard"/>
              <w:spacing w:line="280" w:lineRule="exact"/>
            </w:pPr>
            <w:r>
              <w:rPr>
                <w:rFonts w:ascii="標楷體" w:eastAsia="標楷體" w:hAnsi="標楷體"/>
                <w:sz w:val="20"/>
                <w:szCs w:val="20"/>
              </w:rPr>
              <w:t>78.6.27台（78）人字第30455號函</w:t>
            </w:r>
          </w:p>
        </w:tc>
        <w:tc>
          <w:tcPr>
            <w:tcW w:w="34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72166" w:rsidRDefault="00616A47">
            <w:pPr>
              <w:pStyle w:val="Standard"/>
              <w:spacing w:line="280" w:lineRule="exact"/>
              <w:jc w:val="both"/>
            </w:pPr>
            <w:r>
              <w:rPr>
                <w:rFonts w:ascii="標楷體" w:eastAsia="標楷體" w:hAnsi="標楷體"/>
                <w:sz w:val="20"/>
                <w:szCs w:val="20"/>
              </w:rPr>
              <w:t>後備軍人轉任學校教職員後，其軍職年資之比敘，依「後備軍人轉任教職員軍職年資比敘表」及其說明規定辦理；及曾任行政機關公務人員轉任各級學校教師，轉任教師者，得採計經銓敘機關敘定之薪級，惟仍須受教師本職最高年功薪限制。</w:t>
            </w:r>
          </w:p>
        </w:tc>
        <w:tc>
          <w:tcPr>
            <w:tcW w:w="318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72166" w:rsidRDefault="00616A47">
            <w:pPr>
              <w:pStyle w:val="Standard"/>
              <w:spacing w:line="280" w:lineRule="exact"/>
              <w:jc w:val="both"/>
            </w:pPr>
            <w:r>
              <w:rPr>
                <w:rFonts w:ascii="標楷體" w:eastAsia="標楷體" w:hAnsi="標楷體"/>
                <w:sz w:val="20"/>
                <w:szCs w:val="20"/>
              </w:rPr>
              <w:t>後備軍人轉任公立學校教師，採計軍職年資提敘薪級時，依提敘辦法附表「各類人員與教師等級相當年資採計提敘薪級對照表」辦理。</w:t>
            </w:r>
          </w:p>
        </w:tc>
      </w:tr>
      <w:tr w:rsidR="00172166">
        <w:trPr>
          <w:trHeight w:val="1543"/>
        </w:trPr>
        <w:tc>
          <w:tcPr>
            <w:tcW w:w="84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72166" w:rsidRDefault="00616A47">
            <w:pPr>
              <w:pStyle w:val="Standard"/>
              <w:tabs>
                <w:tab w:val="center" w:pos="315"/>
              </w:tabs>
              <w:spacing w:line="280" w:lineRule="exact"/>
              <w:jc w:val="center"/>
            </w:pPr>
            <w:r>
              <w:rPr>
                <w:rFonts w:ascii="標楷體" w:eastAsia="標楷體" w:hAnsi="標楷體"/>
                <w:sz w:val="20"/>
                <w:szCs w:val="20"/>
              </w:rPr>
              <w:t>7</w:t>
            </w:r>
          </w:p>
        </w:tc>
        <w:tc>
          <w:tcPr>
            <w:tcW w:w="18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72166" w:rsidRDefault="00616A47">
            <w:pPr>
              <w:pStyle w:val="Standard"/>
              <w:spacing w:line="280" w:lineRule="exact"/>
            </w:pPr>
            <w:r>
              <w:rPr>
                <w:rFonts w:ascii="標楷體" w:eastAsia="標楷體" w:hAnsi="標楷體"/>
                <w:sz w:val="20"/>
                <w:szCs w:val="20"/>
              </w:rPr>
              <w:t>79.1.9台（79）人字第1310號函</w:t>
            </w:r>
          </w:p>
        </w:tc>
        <w:tc>
          <w:tcPr>
            <w:tcW w:w="34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72166" w:rsidRDefault="00616A47">
            <w:pPr>
              <w:pStyle w:val="Standard"/>
              <w:spacing w:line="280" w:lineRule="exact"/>
              <w:jc w:val="both"/>
            </w:pPr>
            <w:r>
              <w:rPr>
                <w:rFonts w:ascii="標楷體" w:eastAsia="標楷體" w:hAnsi="標楷體"/>
                <w:sz w:val="20"/>
                <w:szCs w:val="20"/>
              </w:rPr>
              <w:t>教師以考試及格資格起敘者，亦得採計與考試及格資格所敘薪級相當之軍職年資按年提敘，但仍受本職與軍職最高薪級之限制。</w:t>
            </w:r>
          </w:p>
        </w:tc>
        <w:tc>
          <w:tcPr>
            <w:tcW w:w="318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72166" w:rsidRDefault="00616A47">
            <w:pPr>
              <w:pStyle w:val="Standard"/>
              <w:spacing w:line="280" w:lineRule="exact"/>
              <w:jc w:val="both"/>
            </w:pPr>
            <w:r>
              <w:rPr>
                <w:rFonts w:ascii="標楷體" w:eastAsia="標楷體" w:hAnsi="標楷體"/>
                <w:sz w:val="20"/>
                <w:szCs w:val="20"/>
              </w:rPr>
              <w:t>待遇條例未定有教師以考試及格資格起敘之規定。</w:t>
            </w:r>
          </w:p>
        </w:tc>
      </w:tr>
      <w:tr w:rsidR="00172166">
        <w:trPr>
          <w:trHeight w:val="1268"/>
        </w:trPr>
        <w:tc>
          <w:tcPr>
            <w:tcW w:w="84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72166" w:rsidRDefault="00616A47">
            <w:pPr>
              <w:pStyle w:val="Standard"/>
              <w:tabs>
                <w:tab w:val="center" w:pos="315"/>
              </w:tabs>
              <w:spacing w:line="280" w:lineRule="exact"/>
              <w:jc w:val="center"/>
            </w:pPr>
            <w:r>
              <w:rPr>
                <w:rFonts w:ascii="標楷體" w:eastAsia="標楷體" w:hAnsi="標楷體"/>
                <w:sz w:val="20"/>
                <w:szCs w:val="20"/>
              </w:rPr>
              <w:t>8</w:t>
            </w:r>
          </w:p>
        </w:tc>
        <w:tc>
          <w:tcPr>
            <w:tcW w:w="18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72166" w:rsidRDefault="00616A47">
            <w:pPr>
              <w:pStyle w:val="Standard"/>
              <w:spacing w:line="280" w:lineRule="exact"/>
            </w:pPr>
            <w:r>
              <w:rPr>
                <w:rFonts w:ascii="標楷體" w:eastAsia="標楷體" w:hAnsi="標楷體"/>
                <w:sz w:val="20"/>
                <w:szCs w:val="20"/>
              </w:rPr>
              <w:t>79.5.18台（79）人字第22868號函</w:t>
            </w:r>
          </w:p>
        </w:tc>
        <w:tc>
          <w:tcPr>
            <w:tcW w:w="34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72166" w:rsidRDefault="00616A47">
            <w:pPr>
              <w:pStyle w:val="Standard"/>
              <w:spacing w:line="280" w:lineRule="exact"/>
              <w:jc w:val="both"/>
            </w:pPr>
            <w:r>
              <w:rPr>
                <w:rFonts w:ascii="標楷體" w:eastAsia="標楷體" w:hAnsi="標楷體"/>
                <w:sz w:val="20"/>
                <w:szCs w:val="20"/>
              </w:rPr>
              <w:t>現職教師以高考或乙等特考及格辦理改敘時，得自230元起薪，並得採計與230元相當之軍職年資，按年提敘，但仍受本職與軍職最高薪級之限制。</w:t>
            </w:r>
          </w:p>
        </w:tc>
        <w:tc>
          <w:tcPr>
            <w:tcW w:w="318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72166" w:rsidRDefault="00616A47">
            <w:pPr>
              <w:pStyle w:val="Standard"/>
              <w:spacing w:line="280" w:lineRule="exact"/>
              <w:jc w:val="both"/>
            </w:pPr>
            <w:r>
              <w:rPr>
                <w:rFonts w:ascii="標楷體" w:eastAsia="標楷體" w:hAnsi="標楷體"/>
                <w:sz w:val="20"/>
                <w:szCs w:val="20"/>
              </w:rPr>
              <w:t>待遇條例未定有教師以考試及格資格起敘之規定。</w:t>
            </w:r>
          </w:p>
        </w:tc>
      </w:tr>
      <w:tr w:rsidR="00172166">
        <w:trPr>
          <w:trHeight w:val="2958"/>
        </w:trPr>
        <w:tc>
          <w:tcPr>
            <w:tcW w:w="84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72166" w:rsidRDefault="00616A47">
            <w:pPr>
              <w:pStyle w:val="Standard"/>
              <w:tabs>
                <w:tab w:val="center" w:pos="315"/>
              </w:tabs>
              <w:spacing w:line="280" w:lineRule="exact"/>
              <w:jc w:val="center"/>
            </w:pPr>
            <w:r>
              <w:rPr>
                <w:rFonts w:ascii="標楷體" w:eastAsia="標楷體" w:hAnsi="標楷體"/>
                <w:sz w:val="20"/>
                <w:szCs w:val="20"/>
              </w:rPr>
              <w:t>9</w:t>
            </w:r>
          </w:p>
        </w:tc>
        <w:tc>
          <w:tcPr>
            <w:tcW w:w="18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72166" w:rsidRDefault="00616A47">
            <w:pPr>
              <w:pStyle w:val="Standard"/>
              <w:spacing w:line="280" w:lineRule="exact"/>
            </w:pPr>
            <w:r>
              <w:rPr>
                <w:rFonts w:ascii="標楷體" w:eastAsia="標楷體" w:hAnsi="標楷體"/>
                <w:sz w:val="20"/>
                <w:szCs w:val="20"/>
              </w:rPr>
              <w:t>94.11.9台人（一）字第0940145405號書函</w:t>
            </w:r>
          </w:p>
        </w:tc>
        <w:tc>
          <w:tcPr>
            <w:tcW w:w="34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72166" w:rsidRDefault="00616A47">
            <w:pPr>
              <w:pStyle w:val="Standard"/>
              <w:spacing w:line="280" w:lineRule="exact"/>
              <w:jc w:val="both"/>
            </w:pPr>
            <w:r>
              <w:rPr>
                <w:rFonts w:ascii="標楷體" w:eastAsia="標楷體" w:hAnsi="標楷體"/>
                <w:sz w:val="20"/>
                <w:szCs w:val="20"/>
              </w:rPr>
              <w:t>公立學校教師離職後轉任私立學校教師，於回任公立學校教師時，得在本職最高年功薪範圍內，銜敘原任公立學校教師時所支薪級；至曾任私立學校專任合格教師年資，如與現職職務等級相當且服務成績優良，得按年採計提敘薪級至本職最高年功薪止。另講師取得博士學位而薪級未達330元者，得改敘330元。</w:t>
            </w:r>
          </w:p>
        </w:tc>
        <w:tc>
          <w:tcPr>
            <w:tcW w:w="318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72166" w:rsidRDefault="00616A47">
            <w:pPr>
              <w:pStyle w:val="Standard"/>
              <w:spacing w:line="280" w:lineRule="exact"/>
              <w:jc w:val="both"/>
            </w:pPr>
            <w:r>
              <w:rPr>
                <w:rFonts w:ascii="標楷體" w:eastAsia="標楷體" w:hAnsi="標楷體"/>
                <w:sz w:val="20"/>
                <w:szCs w:val="20"/>
              </w:rPr>
              <w:t>待遇條例未定有專科以上學校教師取得較高學歷改敘之規定，該書函有關講師取得博士學位而薪級未達330元者得改敘部分，停止適用。</w:t>
            </w:r>
          </w:p>
        </w:tc>
      </w:tr>
      <w:tr w:rsidR="00172166">
        <w:trPr>
          <w:trHeight w:val="1722"/>
        </w:trPr>
        <w:tc>
          <w:tcPr>
            <w:tcW w:w="84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72166" w:rsidRDefault="00616A47">
            <w:pPr>
              <w:pStyle w:val="Standard"/>
              <w:tabs>
                <w:tab w:val="center" w:pos="315"/>
              </w:tabs>
              <w:spacing w:line="280" w:lineRule="exact"/>
              <w:jc w:val="center"/>
            </w:pPr>
            <w:r>
              <w:rPr>
                <w:rFonts w:ascii="標楷體" w:eastAsia="標楷體" w:hAnsi="標楷體"/>
                <w:sz w:val="20"/>
                <w:szCs w:val="20"/>
              </w:rPr>
              <w:t>10</w:t>
            </w:r>
          </w:p>
        </w:tc>
        <w:tc>
          <w:tcPr>
            <w:tcW w:w="18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72166" w:rsidRDefault="00616A47">
            <w:pPr>
              <w:pStyle w:val="Standard"/>
              <w:spacing w:line="280" w:lineRule="exact"/>
            </w:pPr>
            <w:r>
              <w:rPr>
                <w:rFonts w:ascii="標楷體" w:eastAsia="標楷體" w:hAnsi="標楷體"/>
                <w:sz w:val="20"/>
                <w:szCs w:val="20"/>
              </w:rPr>
              <w:t>81.3.20台（81）人字第14567號書函</w:t>
            </w:r>
          </w:p>
        </w:tc>
        <w:tc>
          <w:tcPr>
            <w:tcW w:w="34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72166" w:rsidRDefault="00616A47">
            <w:pPr>
              <w:pStyle w:val="Standard"/>
              <w:spacing w:line="280" w:lineRule="exact"/>
              <w:jc w:val="both"/>
            </w:pPr>
            <w:r>
              <w:rPr>
                <w:rFonts w:ascii="標楷體" w:eastAsia="標楷體" w:hAnsi="標楷體"/>
                <w:sz w:val="20"/>
                <w:szCs w:val="20"/>
              </w:rPr>
              <w:t>公立各級學校教師，曾任交通事業人員、關務人員或公營事業機構人員，其與所任教師職務等級相當，且服務成績優良之年資，得按年提敘薪級，並受教師本職最高薪限制。</w:t>
            </w:r>
          </w:p>
        </w:tc>
        <w:tc>
          <w:tcPr>
            <w:tcW w:w="318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72166" w:rsidRDefault="00616A47">
            <w:pPr>
              <w:pStyle w:val="Standard"/>
              <w:spacing w:line="280" w:lineRule="exact"/>
              <w:jc w:val="both"/>
            </w:pPr>
            <w:r>
              <w:rPr>
                <w:rFonts w:ascii="標楷體" w:eastAsia="標楷體" w:hAnsi="標楷體"/>
                <w:sz w:val="20"/>
                <w:szCs w:val="20"/>
              </w:rPr>
              <w:t>公立各級學校教師採計曾任交通事業人員、關務人員或公營事業機構人員年資提敘薪級時，其等級相當之對照，依提敘辦法附表「各類人員與教師等級相當年資採計提敘薪級對照表」辦理。</w:t>
            </w:r>
          </w:p>
        </w:tc>
      </w:tr>
      <w:tr w:rsidR="00172166">
        <w:trPr>
          <w:trHeight w:val="1010"/>
        </w:trPr>
        <w:tc>
          <w:tcPr>
            <w:tcW w:w="84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72166" w:rsidRDefault="00616A47">
            <w:pPr>
              <w:pStyle w:val="Standard"/>
              <w:tabs>
                <w:tab w:val="center" w:pos="315"/>
              </w:tabs>
              <w:spacing w:line="280" w:lineRule="exact"/>
              <w:jc w:val="center"/>
            </w:pPr>
            <w:r>
              <w:rPr>
                <w:rFonts w:ascii="標楷體" w:eastAsia="標楷體" w:hAnsi="標楷體"/>
                <w:sz w:val="20"/>
                <w:szCs w:val="20"/>
              </w:rPr>
              <w:t>11</w:t>
            </w:r>
          </w:p>
        </w:tc>
        <w:tc>
          <w:tcPr>
            <w:tcW w:w="18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72166" w:rsidRDefault="00616A47">
            <w:pPr>
              <w:pStyle w:val="Standard"/>
              <w:spacing w:line="280" w:lineRule="exact"/>
            </w:pPr>
            <w:r>
              <w:rPr>
                <w:rFonts w:ascii="標楷體" w:eastAsia="標楷體" w:hAnsi="標楷體"/>
                <w:sz w:val="20"/>
                <w:szCs w:val="20"/>
              </w:rPr>
              <w:t>78.2.23台（78）人字第07759號函</w:t>
            </w:r>
          </w:p>
        </w:tc>
        <w:tc>
          <w:tcPr>
            <w:tcW w:w="34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72166" w:rsidRDefault="00616A47">
            <w:pPr>
              <w:pStyle w:val="Standard"/>
              <w:spacing w:line="280" w:lineRule="exact"/>
              <w:jc w:val="both"/>
            </w:pPr>
            <w:r>
              <w:rPr>
                <w:rFonts w:ascii="標楷體" w:eastAsia="標楷體" w:hAnsi="標楷體"/>
                <w:sz w:val="20"/>
                <w:szCs w:val="20"/>
              </w:rPr>
              <w:t>助教服預備軍官役之年資不得採計提敘。</w:t>
            </w:r>
          </w:p>
        </w:tc>
        <w:tc>
          <w:tcPr>
            <w:tcW w:w="318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72166" w:rsidRDefault="00616A47">
            <w:pPr>
              <w:pStyle w:val="Standard"/>
              <w:spacing w:line="280" w:lineRule="exact"/>
              <w:jc w:val="both"/>
            </w:pPr>
            <w:r>
              <w:rPr>
                <w:rFonts w:ascii="標楷體" w:eastAsia="標楷體" w:hAnsi="標楷體"/>
                <w:sz w:val="20"/>
                <w:szCs w:val="20"/>
              </w:rPr>
              <w:t>依待遇條例第21條規定，公立學校助教除其他法律另有規定外，準用公立學校教師之規定。</w:t>
            </w:r>
          </w:p>
        </w:tc>
      </w:tr>
      <w:tr w:rsidR="00172166">
        <w:tc>
          <w:tcPr>
            <w:tcW w:w="84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72166" w:rsidRDefault="00616A47">
            <w:pPr>
              <w:pStyle w:val="Standard"/>
              <w:tabs>
                <w:tab w:val="center" w:pos="315"/>
              </w:tabs>
              <w:spacing w:line="280" w:lineRule="exact"/>
              <w:jc w:val="center"/>
            </w:pPr>
            <w:r>
              <w:rPr>
                <w:rFonts w:ascii="標楷體" w:eastAsia="標楷體" w:hAnsi="標楷體"/>
                <w:sz w:val="20"/>
                <w:szCs w:val="20"/>
              </w:rPr>
              <w:t>12</w:t>
            </w:r>
          </w:p>
        </w:tc>
        <w:tc>
          <w:tcPr>
            <w:tcW w:w="18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72166" w:rsidRDefault="00616A47">
            <w:pPr>
              <w:pStyle w:val="Standard"/>
              <w:spacing w:line="280" w:lineRule="exact"/>
            </w:pPr>
            <w:r>
              <w:rPr>
                <w:rFonts w:ascii="標楷體" w:eastAsia="標楷體" w:hAnsi="標楷體"/>
                <w:sz w:val="20"/>
                <w:szCs w:val="20"/>
              </w:rPr>
              <w:t>79.1.17台（79）人字第2446號函</w:t>
            </w:r>
          </w:p>
        </w:tc>
        <w:tc>
          <w:tcPr>
            <w:tcW w:w="34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72166" w:rsidRDefault="00616A47">
            <w:pPr>
              <w:pStyle w:val="Standard"/>
              <w:spacing w:line="280" w:lineRule="exact"/>
              <w:jc w:val="both"/>
            </w:pPr>
            <w:r>
              <w:rPr>
                <w:rFonts w:ascii="標楷體" w:eastAsia="標楷體" w:hAnsi="標楷體"/>
                <w:sz w:val="20"/>
                <w:szCs w:val="20"/>
              </w:rPr>
              <w:t>大學教師在國外之服務年資之採計，目前仍以與教學或研究有關之年資為限。</w:t>
            </w:r>
          </w:p>
        </w:tc>
        <w:tc>
          <w:tcPr>
            <w:tcW w:w="318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72166" w:rsidRDefault="00616A47">
            <w:pPr>
              <w:pStyle w:val="Standard"/>
              <w:spacing w:line="280" w:lineRule="exact"/>
              <w:ind w:left="400" w:hanging="400"/>
              <w:jc w:val="both"/>
            </w:pPr>
            <w:r>
              <w:rPr>
                <w:rFonts w:ascii="標楷體" w:eastAsia="標楷體" w:hAnsi="標楷體"/>
                <w:sz w:val="20"/>
                <w:szCs w:val="20"/>
              </w:rPr>
              <w:t>一、依待遇條例第9條第2項規定，公立大專教師職前於具有規模之國內外私人機構性質相近、服務成績優良及等級相當之任職年資，得按年採計提敘薪級。</w:t>
            </w:r>
          </w:p>
          <w:p w:rsidR="00172166" w:rsidRDefault="00616A47">
            <w:pPr>
              <w:pStyle w:val="Standard"/>
              <w:spacing w:line="280" w:lineRule="exact"/>
              <w:ind w:left="400" w:hanging="400"/>
              <w:jc w:val="both"/>
            </w:pPr>
            <w:r>
              <w:rPr>
                <w:rFonts w:ascii="標楷體" w:eastAsia="標楷體" w:hAnsi="標楷體"/>
                <w:sz w:val="20"/>
                <w:szCs w:val="20"/>
              </w:rPr>
              <w:t>二、復依提敘辦法第6條規定，待遇條例第9條第2項所稱性質相近，指原任職務性質與擬任教學科目相近。</w:t>
            </w:r>
          </w:p>
        </w:tc>
      </w:tr>
    </w:tbl>
    <w:p w:rsidR="00172166" w:rsidRDefault="00172166">
      <w:pPr>
        <w:pStyle w:val="Standard"/>
        <w:spacing w:line="440" w:lineRule="exact"/>
      </w:pPr>
    </w:p>
    <w:sectPr w:rsidR="00172166" w:rsidSect="00672C6E">
      <w:pgSz w:w="11906" w:h="16838"/>
      <w:pgMar w:top="1276" w:right="1418" w:bottom="993" w:left="1418"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443" w:rsidRDefault="00CD5443">
      <w:r>
        <w:separator/>
      </w:r>
    </w:p>
  </w:endnote>
  <w:endnote w:type="continuationSeparator" w:id="0">
    <w:p w:rsidR="00CD5443" w:rsidRDefault="00CD54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sig w:usb0="00000000" w:usb1="00000000" w:usb2="00000000" w:usb3="00000000" w:csb0="00000000"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443" w:rsidRDefault="00CD5443">
      <w:r>
        <w:rPr>
          <w:color w:val="000000"/>
        </w:rPr>
        <w:separator/>
      </w:r>
    </w:p>
  </w:footnote>
  <w:footnote w:type="continuationSeparator" w:id="0">
    <w:p w:rsidR="00CD5443" w:rsidRDefault="00CD54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1447"/>
    <w:multiLevelType w:val="multilevel"/>
    <w:tmpl w:val="2CFE820A"/>
    <w:styleLink w:val="WWNum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2CFF618D"/>
    <w:multiLevelType w:val="multilevel"/>
    <w:tmpl w:val="3F2A871E"/>
    <w:styleLink w:val="WWNum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56831784"/>
    <w:multiLevelType w:val="multilevel"/>
    <w:tmpl w:val="93F0D8BA"/>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676C70D8"/>
    <w:multiLevelType w:val="multilevel"/>
    <w:tmpl w:val="9A6CCAE6"/>
    <w:styleLink w:val="WWNum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172166"/>
    <w:rsid w:val="0002256F"/>
    <w:rsid w:val="00172166"/>
    <w:rsid w:val="00616A47"/>
    <w:rsid w:val="00672C6E"/>
    <w:rsid w:val="00692587"/>
    <w:rsid w:val="00CD544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C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72C6E"/>
  </w:style>
  <w:style w:type="paragraph" w:customStyle="1" w:styleId="Heading">
    <w:name w:val="Heading"/>
    <w:basedOn w:val="Standard"/>
    <w:next w:val="Textbody"/>
    <w:rsid w:val="00672C6E"/>
    <w:pPr>
      <w:keepNext/>
      <w:spacing w:before="240" w:after="120"/>
    </w:pPr>
    <w:rPr>
      <w:rFonts w:ascii="Liberation Sans" w:eastAsia="微軟正黑體" w:hAnsi="Liberation Sans" w:cs="Mangal"/>
      <w:sz w:val="28"/>
      <w:szCs w:val="28"/>
    </w:rPr>
  </w:style>
  <w:style w:type="paragraph" w:customStyle="1" w:styleId="Textbody">
    <w:name w:val="Text body"/>
    <w:basedOn w:val="Standard"/>
    <w:rsid w:val="00672C6E"/>
    <w:pPr>
      <w:spacing w:after="140" w:line="288" w:lineRule="auto"/>
    </w:pPr>
  </w:style>
  <w:style w:type="paragraph" w:styleId="a3">
    <w:name w:val="List"/>
    <w:basedOn w:val="Textbody"/>
    <w:rsid w:val="00672C6E"/>
    <w:rPr>
      <w:rFonts w:cs="Mangal"/>
    </w:rPr>
  </w:style>
  <w:style w:type="paragraph" w:styleId="a4">
    <w:name w:val="caption"/>
    <w:basedOn w:val="Standard"/>
    <w:rsid w:val="00672C6E"/>
    <w:pPr>
      <w:suppressLineNumbers/>
      <w:spacing w:before="120" w:after="120"/>
    </w:pPr>
    <w:rPr>
      <w:rFonts w:cs="Mangal"/>
      <w:i/>
      <w:iCs/>
      <w:szCs w:val="24"/>
    </w:rPr>
  </w:style>
  <w:style w:type="paragraph" w:customStyle="1" w:styleId="Index">
    <w:name w:val="Index"/>
    <w:basedOn w:val="Standard"/>
    <w:rsid w:val="00672C6E"/>
    <w:pPr>
      <w:suppressLineNumbers/>
    </w:pPr>
    <w:rPr>
      <w:rFonts w:cs="Mangal"/>
    </w:rPr>
  </w:style>
  <w:style w:type="paragraph" w:styleId="a5">
    <w:name w:val="header"/>
    <w:basedOn w:val="Standard"/>
    <w:rsid w:val="00672C6E"/>
    <w:pPr>
      <w:tabs>
        <w:tab w:val="center" w:pos="4153"/>
        <w:tab w:val="right" w:pos="8306"/>
      </w:tabs>
      <w:snapToGrid w:val="0"/>
    </w:pPr>
    <w:rPr>
      <w:sz w:val="20"/>
      <w:szCs w:val="20"/>
    </w:rPr>
  </w:style>
  <w:style w:type="paragraph" w:styleId="a6">
    <w:name w:val="footer"/>
    <w:basedOn w:val="Standard"/>
    <w:rsid w:val="00672C6E"/>
    <w:pPr>
      <w:tabs>
        <w:tab w:val="center" w:pos="4153"/>
        <w:tab w:val="right" w:pos="8306"/>
      </w:tabs>
      <w:snapToGrid w:val="0"/>
    </w:pPr>
    <w:rPr>
      <w:sz w:val="20"/>
      <w:szCs w:val="20"/>
    </w:rPr>
  </w:style>
  <w:style w:type="paragraph" w:styleId="a7">
    <w:name w:val="List Paragraph"/>
    <w:basedOn w:val="Standard"/>
    <w:rsid w:val="00672C6E"/>
    <w:pPr>
      <w:ind w:left="480"/>
    </w:pPr>
  </w:style>
  <w:style w:type="paragraph" w:styleId="a8">
    <w:name w:val="Balloon Text"/>
    <w:basedOn w:val="Standard"/>
    <w:rsid w:val="00672C6E"/>
    <w:rPr>
      <w:rFonts w:ascii="Calibri Light" w:hAnsi="Calibri Light"/>
      <w:sz w:val="18"/>
      <w:szCs w:val="18"/>
    </w:rPr>
  </w:style>
  <w:style w:type="paragraph" w:styleId="a9">
    <w:name w:val="List Bullet"/>
    <w:basedOn w:val="Standard"/>
    <w:rsid w:val="00672C6E"/>
  </w:style>
  <w:style w:type="character" w:customStyle="1" w:styleId="aa">
    <w:name w:val="頁首 字元"/>
    <w:basedOn w:val="a0"/>
    <w:rsid w:val="00672C6E"/>
    <w:rPr>
      <w:sz w:val="20"/>
      <w:szCs w:val="20"/>
    </w:rPr>
  </w:style>
  <w:style w:type="character" w:customStyle="1" w:styleId="ab">
    <w:name w:val="頁尾 字元"/>
    <w:basedOn w:val="a0"/>
    <w:rsid w:val="00672C6E"/>
    <w:rPr>
      <w:sz w:val="20"/>
      <w:szCs w:val="20"/>
    </w:rPr>
  </w:style>
  <w:style w:type="character" w:customStyle="1" w:styleId="ac">
    <w:name w:val="註解方塊文字 字元"/>
    <w:basedOn w:val="a0"/>
    <w:rsid w:val="00672C6E"/>
    <w:rPr>
      <w:rFonts w:ascii="Calibri Light" w:eastAsia="新細明體" w:hAnsi="Calibri Light" w:cs="F"/>
      <w:sz w:val="18"/>
      <w:szCs w:val="18"/>
    </w:rPr>
  </w:style>
  <w:style w:type="numbering" w:customStyle="1" w:styleId="1">
    <w:name w:val="無清單1"/>
    <w:basedOn w:val="a2"/>
    <w:rsid w:val="00672C6E"/>
    <w:pPr>
      <w:numPr>
        <w:numId w:val="1"/>
      </w:numPr>
    </w:pPr>
  </w:style>
  <w:style w:type="numbering" w:customStyle="1" w:styleId="WWNum1">
    <w:name w:val="WWNum1"/>
    <w:basedOn w:val="a2"/>
    <w:rsid w:val="00672C6E"/>
    <w:pPr>
      <w:numPr>
        <w:numId w:val="2"/>
      </w:numPr>
    </w:pPr>
  </w:style>
  <w:style w:type="numbering" w:customStyle="1" w:styleId="WWNum2">
    <w:name w:val="WWNum2"/>
    <w:basedOn w:val="a2"/>
    <w:rsid w:val="00672C6E"/>
    <w:pPr>
      <w:numPr>
        <w:numId w:val="3"/>
      </w:numPr>
    </w:pPr>
  </w:style>
  <w:style w:type="numbering" w:customStyle="1" w:styleId="WWNum3">
    <w:name w:val="WWNum3"/>
    <w:basedOn w:val="a2"/>
    <w:rsid w:val="00672C6E"/>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List Paragraph"/>
    <w:basedOn w:val="Standard"/>
    <w:pPr>
      <w:ind w:left="480"/>
    </w:pPr>
  </w:style>
  <w:style w:type="paragraph" w:styleId="a8">
    <w:name w:val="Balloon Text"/>
    <w:basedOn w:val="Standard"/>
    <w:rPr>
      <w:rFonts w:ascii="Calibri Light" w:hAnsi="Calibri Light"/>
      <w:sz w:val="18"/>
      <w:szCs w:val="18"/>
    </w:rPr>
  </w:style>
  <w:style w:type="paragraph" w:styleId="a9">
    <w:name w:val="List Bullet"/>
    <w:basedOn w:val="Standard"/>
  </w:style>
  <w:style w:type="character" w:customStyle="1" w:styleId="aa">
    <w:name w:val="頁首 字元"/>
    <w:basedOn w:val="a0"/>
    <w:rPr>
      <w:sz w:val="20"/>
      <w:szCs w:val="20"/>
    </w:rPr>
  </w:style>
  <w:style w:type="character" w:customStyle="1" w:styleId="ab">
    <w:name w:val="頁尾 字元"/>
    <w:basedOn w:val="a0"/>
    <w:rPr>
      <w:sz w:val="20"/>
      <w:szCs w:val="20"/>
    </w:rPr>
  </w:style>
  <w:style w:type="character" w:customStyle="1" w:styleId="ac">
    <w:name w:val="註解方塊文字 字元"/>
    <w:basedOn w:val="a0"/>
    <w:rPr>
      <w:rFonts w:ascii="Calibri Light" w:eastAsia="新細明體" w:hAnsi="Calibri Light" w:cs="F"/>
      <w:sz w:val="18"/>
      <w:szCs w:val="18"/>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355</Words>
  <Characters>2028</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林昌明</dc:creator>
  <cp:lastModifiedBy>user</cp:lastModifiedBy>
  <cp:revision>2</cp:revision>
  <cp:lastPrinted>2017-01-13T03:33:00Z</cp:lastPrinted>
  <dcterms:created xsi:type="dcterms:W3CDTF">2017-02-22T01:27:00Z</dcterms:created>
  <dcterms:modified xsi:type="dcterms:W3CDTF">2017-02-22T01:27:00Z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