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7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年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度「黑水虻循環農業暨環境教育訓練」</w:t>
      </w:r>
    </w:p>
    <w:p w:rsidR="00A650D1" w:rsidRP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實施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計畫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/>
          <w:sz w:val="28"/>
          <w:szCs w:val="28"/>
        </w:rPr>
        <w:t>依據：10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A650D1">
        <w:rPr>
          <w:rFonts w:ascii="標楷體" w:eastAsia="標楷體" w:hAnsi="標楷體" w:cs="Times New Roman"/>
          <w:sz w:val="28"/>
          <w:szCs w:val="28"/>
        </w:rPr>
        <w:t>年度水產養殖業務計畫辦理。</w:t>
      </w:r>
    </w:p>
    <w:p w:rsidR="00A650D1" w:rsidRPr="00A650D1" w:rsidRDefault="00A650D1" w:rsidP="00A650D1">
      <w:pPr>
        <w:numPr>
          <w:ilvl w:val="0"/>
          <w:numId w:val="1"/>
        </w:numPr>
        <w:tabs>
          <w:tab w:val="left" w:pos="1064"/>
        </w:tabs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緣起: </w:t>
      </w:r>
    </w:p>
    <w:p w:rsidR="00A650D1" w:rsidRPr="00A650D1" w:rsidRDefault="00A650D1" w:rsidP="00A650D1">
      <w:pPr>
        <w:tabs>
          <w:tab w:val="left" w:pos="1064"/>
        </w:tabs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水產(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動物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)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飼料中的動物性蛋白質來源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為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，其中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是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人類濫捕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海洋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小魚製作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而成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已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造成海洋資源枯竭，有科學家預計2048年以後，全世界就沒有魚可以捕撈；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骨粉當飼料蛋白質，風險也很大，狂牛病的「Prion」變性蛋白質，高溫都煮不死，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人類都可能間接受害，如畜牧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業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及水產業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不再用魚粉和骨粉當為飼料，改用黑水虻替代，就可避免海洋資源枯竭及狂牛病風險的悲劇。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黑水虻生產應用具有高度安全性及可行性，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養殖具有生產週期短、單位面積產量高、汙染少等優勢，為創造循環農業及友善環境的新興產業。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目的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    透過本課程使本縣養殖業者及各機關、學校，了解如何</w:t>
      </w:r>
      <w:r w:rsidRPr="00A650D1">
        <w:rPr>
          <w:rFonts w:ascii="標楷體" w:eastAsia="標楷體" w:hAnsi="標楷體" w:cs="Times New Roman"/>
          <w:sz w:val="28"/>
          <w:szCs w:val="28"/>
        </w:rPr>
        <w:t>運用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現有之有機廢棄物，有效率轉換產出可利用資源以應用於養殖生產，例如以絲藻、魚屍體、禽畜糞、廚餘或過剩食材進行黑水虻之繁殖生產，用以養魚、養雞或魚菜共生，而虻碳天然肥則應用於植物施肥，達成農業循環利用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，除可節省養殖飼料成本亦可作為校園或社區環境教育之教材，因此舉辦此課程進行技術推廣，希望水產業者或有興趣之機關、學校、農友可以應用，達成友善環境循環利用之目的。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訓練相關事項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地點時間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花蓮縣水產培育所(花蓮縣壽豐鄉池南村池南路1段27號)</w:t>
      </w:r>
    </w:p>
    <w:p w:rsidR="00A650D1" w:rsidRPr="00A650D1" w:rsidRDefault="00A650D1" w:rsidP="00A650D1">
      <w:pPr>
        <w:ind w:left="132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lastRenderedPageBreak/>
        <w:t>107年12月</w:t>
      </w:r>
      <w:r w:rsidR="00E154E7">
        <w:rPr>
          <w:rFonts w:ascii="標楷體" w:eastAsia="標楷體" w:hAnsi="標楷體" w:cs="Times New Roman" w:hint="eastAsia"/>
          <w:sz w:val="28"/>
          <w:szCs w:val="28"/>
        </w:rPr>
        <w:t>14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日(星期五)下午13時30分至下午17時30分。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即日起至107年12月</w:t>
      </w:r>
      <w:r w:rsidR="00B67502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日(星期三)17:30前截止。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傳真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請將報名表填妥後傳真至本所(03-8641126)，回傳後請以電話確認。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電子信箱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請將報名表之需填資料寄送至xcopyen002＠nt.hl.gov.tw  嚴子林先生。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請來電本所(03-8641514)</w:t>
      </w:r>
      <w:r w:rsidRPr="00A650D1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參加對象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花蓮縣各鄉鎮市養殖技術推廣人員及花蓮縣轄區內養殖漁民，及縣內各國高中小教育人員，以50名為限。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連絡電話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03-8641514嚴子林先生。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費用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免費，並供應餐點。為配合推動政府機關環保節能紙杯減量方案，請自備環保杯。(相關交通差旅費用請於各單位經費項下自行支應。)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課程表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632"/>
        <w:gridCol w:w="1859"/>
        <w:gridCol w:w="3260"/>
        <w:gridCol w:w="2268"/>
        <w:gridCol w:w="1701"/>
      </w:tblGrid>
      <w:tr w:rsidR="00A650D1" w:rsidRPr="00A650D1" w:rsidTr="00B513B3">
        <w:trPr>
          <w:trHeight w:val="640"/>
          <w:jc w:val="center"/>
        </w:trPr>
        <w:tc>
          <w:tcPr>
            <w:tcW w:w="62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日</w:t>
            </w: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632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地點</w:t>
            </w:r>
          </w:p>
        </w:tc>
        <w:tc>
          <w:tcPr>
            <w:tcW w:w="1859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時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間</w:t>
            </w:r>
          </w:p>
        </w:tc>
        <w:tc>
          <w:tcPr>
            <w:tcW w:w="3260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課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程</w:t>
            </w:r>
          </w:p>
        </w:tc>
        <w:tc>
          <w:tcPr>
            <w:tcW w:w="226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講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師</w:t>
            </w:r>
          </w:p>
        </w:tc>
        <w:tc>
          <w:tcPr>
            <w:tcW w:w="1701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   註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625F44" w:rsidRPr="00A650D1" w:rsidRDefault="00625F44" w:rsidP="00E154E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十二月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十四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日(星期五)</w:t>
            </w: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花蓮縣水產培育所多媒體館</w:t>
            </w: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13：00~13：20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參加人員報到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13：20~13：30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致  詞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郭仕強 所長</w:t>
            </w: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13：30~15：00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黑水虻之生態及功能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 博士</w:t>
            </w:r>
          </w:p>
        </w:tc>
        <w:tc>
          <w:tcPr>
            <w:tcW w:w="1701" w:type="dxa"/>
            <w:vMerge w:val="restart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行政院農委會─畜產試驗所新竹分所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15：00~15：10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15：10~16：40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黑水虻之培養及應用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16：40~17:30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黑水虻循環系</w:t>
            </w:r>
            <w:bookmarkStart w:id="0" w:name="_GoBack"/>
            <w:bookmarkEnd w:id="0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統觀摩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650D1" w:rsidRPr="00A650D1" w:rsidTr="00B513B3">
        <w:trPr>
          <w:trHeight w:val="139"/>
          <w:jc w:val="center"/>
        </w:trPr>
        <w:tc>
          <w:tcPr>
            <w:tcW w:w="628" w:type="dxa"/>
            <w:vMerge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088" w:type="dxa"/>
            <w:gridSpan w:val="4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備註:</w:t>
            </w:r>
          </w:p>
        </w:tc>
      </w:tr>
    </w:tbl>
    <w:p w:rsidR="00B43039" w:rsidRDefault="00B43039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sectPr w:rsidR="00A650D1" w:rsidSect="00E14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D0" w:rsidRDefault="004E0FD0" w:rsidP="00B67D41">
      <w:r>
        <w:separator/>
      </w:r>
    </w:p>
  </w:endnote>
  <w:endnote w:type="continuationSeparator" w:id="0">
    <w:p w:rsidR="004E0FD0" w:rsidRDefault="004E0FD0" w:rsidP="00B6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D0" w:rsidRDefault="004E0FD0" w:rsidP="00B67D41">
      <w:r>
        <w:separator/>
      </w:r>
    </w:p>
  </w:footnote>
  <w:footnote w:type="continuationSeparator" w:id="0">
    <w:p w:rsidR="004E0FD0" w:rsidRDefault="004E0FD0" w:rsidP="00B67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24C"/>
    <w:multiLevelType w:val="hybridMultilevel"/>
    <w:tmpl w:val="F0441240"/>
    <w:lvl w:ilvl="0" w:tplc="A8066536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143D08"/>
    <w:multiLevelType w:val="hybridMultilevel"/>
    <w:tmpl w:val="D1E2754C"/>
    <w:lvl w:ilvl="0" w:tplc="7736CAE4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b w:val="0"/>
      </w:rPr>
    </w:lvl>
    <w:lvl w:ilvl="1" w:tplc="4CC0D6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D1"/>
    <w:rsid w:val="0039340C"/>
    <w:rsid w:val="004E0FD0"/>
    <w:rsid w:val="00625F44"/>
    <w:rsid w:val="00A650D1"/>
    <w:rsid w:val="00B43039"/>
    <w:rsid w:val="00B67502"/>
    <w:rsid w:val="00B67D41"/>
    <w:rsid w:val="00E14B34"/>
    <w:rsid w:val="00E154E7"/>
    <w:rsid w:val="00FE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7D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7D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2018-12-05T07:17:00Z</dcterms:created>
  <dcterms:modified xsi:type="dcterms:W3CDTF">2018-12-05T07:17:00Z</dcterms:modified>
</cp:coreProperties>
</file>